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A6FE6" w14:textId="37CD00CC" w:rsidR="00B66355" w:rsidRPr="00525AB5" w:rsidRDefault="00D10D05" w:rsidP="00525AB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6"/>
          <w:szCs w:val="26"/>
          <w:lang w:eastAsia="fr-LU"/>
        </w:rPr>
      </w:pPr>
      <w:r w:rsidRPr="00525AB5">
        <w:rPr>
          <w:rFonts w:eastAsia="Times New Roman" w:cstheme="minorHAnsi"/>
          <w:b/>
          <w:bCs/>
          <w:sz w:val="26"/>
          <w:szCs w:val="26"/>
          <w:lang w:eastAsia="fr-LU"/>
        </w:rPr>
        <w:t>Annexe</w:t>
      </w:r>
    </w:p>
    <w:p w14:paraId="7C12EC3B" w14:textId="0BA9CA4B" w:rsidR="00C77B76" w:rsidRDefault="00C77B76" w:rsidP="00B6635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LU"/>
        </w:rPr>
      </w:pPr>
    </w:p>
    <w:p w14:paraId="4604D491" w14:textId="5FE10AAB" w:rsidR="00C0532A" w:rsidRPr="001778BE" w:rsidRDefault="00C0532A" w:rsidP="00B66355">
      <w:pPr>
        <w:spacing w:before="100" w:beforeAutospacing="1" w:after="100" w:afterAutospacing="1" w:line="240" w:lineRule="auto"/>
        <w:rPr>
          <w:rFonts w:eastAsia="Times New Roman" w:cstheme="minorHAnsi"/>
          <w:i/>
          <w:iCs/>
          <w:sz w:val="24"/>
          <w:szCs w:val="24"/>
          <w:u w:val="single"/>
          <w:lang w:eastAsia="fr-LU"/>
        </w:rPr>
      </w:pPr>
      <w:r w:rsidRPr="001778BE">
        <w:rPr>
          <w:rFonts w:eastAsia="Times New Roman" w:cstheme="minorHAnsi"/>
          <w:i/>
          <w:iCs/>
          <w:sz w:val="24"/>
          <w:szCs w:val="24"/>
          <w:u w:val="single"/>
          <w:lang w:eastAsia="fr-LU"/>
        </w:rPr>
        <w:t>6.1)</w:t>
      </w:r>
      <w:r w:rsidRPr="001778BE">
        <w:rPr>
          <w:rFonts w:eastAsia="Times New Roman" w:cstheme="minorHAnsi"/>
          <w:i/>
          <w:iCs/>
          <w:sz w:val="24"/>
          <w:szCs w:val="24"/>
          <w:u w:val="single"/>
          <w:lang w:eastAsia="fr-LU"/>
        </w:rPr>
        <w:tab/>
        <w:t>Données du Ministère des Finances :</w:t>
      </w:r>
    </w:p>
    <w:p w14:paraId="1959E042" w14:textId="5FE172DF" w:rsidR="00C0532A" w:rsidRPr="000A7670" w:rsidRDefault="00C0532A" w:rsidP="00C0532A">
      <w:pPr>
        <w:rPr>
          <w:rFonts w:eastAsia="Times New Roman" w:cstheme="minorHAnsi"/>
          <w:noProof/>
          <w:color w:val="000000" w:themeColor="text1"/>
          <w:sz w:val="24"/>
          <w:szCs w:val="24"/>
          <w:lang w:eastAsia="fr-LU"/>
        </w:rPr>
      </w:pPr>
      <w:r w:rsidRPr="000A7670">
        <w:rPr>
          <w:rFonts w:eastAsia="Times New Roman" w:cstheme="minorHAnsi"/>
          <w:noProof/>
          <w:color w:val="000000" w:themeColor="text1"/>
          <w:sz w:val="24"/>
          <w:szCs w:val="24"/>
          <w:lang w:eastAsia="fr-LU"/>
        </w:rPr>
        <w:t xml:space="preserve">Ces données officielles </w:t>
      </w:r>
      <w:r>
        <w:rPr>
          <w:rFonts w:eastAsia="Times New Roman" w:cstheme="minorHAnsi"/>
          <w:noProof/>
          <w:color w:val="000000" w:themeColor="text1"/>
          <w:sz w:val="24"/>
          <w:szCs w:val="24"/>
          <w:lang w:eastAsia="fr-LU"/>
        </w:rPr>
        <w:t>montrent le recul net des ventes de nouveaux logements (VEFA), ceci aussi en relation avec toutes les ventes ayant été effectuées sur les cinq dernières années.</w:t>
      </w:r>
    </w:p>
    <w:p w14:paraId="7E336545" w14:textId="77777777" w:rsidR="00C0532A" w:rsidRPr="00D10D05" w:rsidRDefault="00C0532A" w:rsidP="00B6635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LU"/>
        </w:rPr>
      </w:pPr>
    </w:p>
    <w:p w14:paraId="34CBD240" w14:textId="5CDB6B37" w:rsidR="00B66355" w:rsidRPr="006152AF" w:rsidRDefault="0073747A" w:rsidP="00B66355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fr-L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fr-LU"/>
        </w:rPr>
        <w:drawing>
          <wp:inline distT="0" distB="0" distL="0" distR="0" wp14:anchorId="7293B880" wp14:editId="553425A5">
            <wp:extent cx="5760720" cy="2122170"/>
            <wp:effectExtent l="0" t="0" r="5080" b="0"/>
            <wp:docPr id="1674787542" name="Picture 1" descr="A table with numb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787542" name="Picture 1" descr="A table with numbers and letter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90F4B" w14:textId="61DB9281" w:rsidR="0073747A" w:rsidRDefault="0073747A" w:rsidP="0073747A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color w:val="000000" w:themeColor="text1"/>
          <w:sz w:val="13"/>
          <w:szCs w:val="13"/>
          <w:lang w:eastAsia="fr-LU"/>
        </w:rPr>
      </w:pPr>
      <w:r w:rsidRPr="000D67A2">
        <w:rPr>
          <w:rFonts w:ascii="Calibri" w:eastAsia="Times New Roman" w:hAnsi="Calibri" w:cs="Calibri"/>
          <w:color w:val="000000" w:themeColor="text1"/>
          <w:sz w:val="13"/>
          <w:szCs w:val="13"/>
          <w:lang w:eastAsia="fr-LU"/>
        </w:rPr>
        <w:t>Source : Ministère des Fi</w:t>
      </w:r>
      <w:r>
        <w:rPr>
          <w:rFonts w:ascii="Calibri" w:eastAsia="Times New Roman" w:hAnsi="Calibri" w:cs="Calibri"/>
          <w:color w:val="000000" w:themeColor="text1"/>
          <w:sz w:val="13"/>
          <w:szCs w:val="13"/>
          <w:lang w:eastAsia="fr-LU"/>
        </w:rPr>
        <w:t>n</w:t>
      </w:r>
      <w:r w:rsidRPr="000D67A2">
        <w:rPr>
          <w:rFonts w:ascii="Calibri" w:eastAsia="Times New Roman" w:hAnsi="Calibri" w:cs="Calibri"/>
          <w:color w:val="000000" w:themeColor="text1"/>
          <w:sz w:val="13"/>
          <w:szCs w:val="13"/>
          <w:lang w:eastAsia="fr-LU"/>
        </w:rPr>
        <w:t>ances</w:t>
      </w:r>
    </w:p>
    <w:p w14:paraId="0282D7CA" w14:textId="77777777" w:rsidR="0073747A" w:rsidRPr="000D67A2" w:rsidRDefault="0073747A" w:rsidP="0073747A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color w:val="000000" w:themeColor="text1"/>
          <w:sz w:val="13"/>
          <w:szCs w:val="13"/>
          <w:lang w:eastAsia="fr-LU"/>
        </w:rPr>
      </w:pPr>
    </w:p>
    <w:p w14:paraId="3C3F4297" w14:textId="304D1F6F" w:rsidR="00B66355" w:rsidRDefault="0073747A" w:rsidP="009647C4">
      <w:pPr>
        <w:rPr>
          <w:rFonts w:cstheme="minorHAnsi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fr-LU"/>
        </w:rPr>
        <w:drawing>
          <wp:inline distT="0" distB="0" distL="0" distR="0" wp14:anchorId="042681C0" wp14:editId="77BC657A">
            <wp:extent cx="5760720" cy="2459990"/>
            <wp:effectExtent l="0" t="0" r="5080" b="3810"/>
            <wp:docPr id="967262376" name="Picture 2" descr="A grid of numbers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262376" name="Picture 2" descr="A grid of numbers on a white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5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C9E31" w14:textId="4220A732" w:rsidR="0073747A" w:rsidRPr="000D67A2" w:rsidRDefault="0073747A" w:rsidP="0073747A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color w:val="000000" w:themeColor="text1"/>
          <w:sz w:val="13"/>
          <w:szCs w:val="13"/>
          <w:lang w:eastAsia="fr-LU"/>
        </w:rPr>
      </w:pPr>
      <w:r w:rsidRPr="000D67A2">
        <w:rPr>
          <w:rFonts w:ascii="Calibri" w:eastAsia="Times New Roman" w:hAnsi="Calibri" w:cs="Calibri"/>
          <w:color w:val="000000" w:themeColor="text1"/>
          <w:sz w:val="13"/>
          <w:szCs w:val="13"/>
          <w:lang w:eastAsia="fr-LU"/>
        </w:rPr>
        <w:t>Source : Ministère des Fi</w:t>
      </w:r>
      <w:r>
        <w:rPr>
          <w:rFonts w:ascii="Calibri" w:eastAsia="Times New Roman" w:hAnsi="Calibri" w:cs="Calibri"/>
          <w:color w:val="000000" w:themeColor="text1"/>
          <w:sz w:val="13"/>
          <w:szCs w:val="13"/>
          <w:lang w:eastAsia="fr-LU"/>
        </w:rPr>
        <w:t>n</w:t>
      </w:r>
      <w:r w:rsidRPr="000D67A2">
        <w:rPr>
          <w:rFonts w:ascii="Calibri" w:eastAsia="Times New Roman" w:hAnsi="Calibri" w:cs="Calibri"/>
          <w:color w:val="000000" w:themeColor="text1"/>
          <w:sz w:val="13"/>
          <w:szCs w:val="13"/>
          <w:lang w:eastAsia="fr-LU"/>
        </w:rPr>
        <w:t>ances</w:t>
      </w:r>
    </w:p>
    <w:p w14:paraId="1A41A729" w14:textId="42EEC966" w:rsidR="003828B0" w:rsidRPr="000A7670" w:rsidRDefault="000A7670">
      <w:pPr>
        <w:rPr>
          <w:rFonts w:eastAsia="Times New Roman" w:cstheme="minorHAnsi"/>
          <w:noProof/>
          <w:color w:val="000000" w:themeColor="text1"/>
          <w:sz w:val="24"/>
          <w:szCs w:val="24"/>
          <w:lang w:eastAsia="fr-L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fr-LU"/>
        </w:rPr>
        <w:br/>
      </w:r>
    </w:p>
    <w:p w14:paraId="5238D791" w14:textId="77777777" w:rsidR="003828B0" w:rsidRDefault="003828B0">
      <w:pPr>
        <w:rPr>
          <w:rFonts w:eastAsia="Times New Roman" w:cstheme="minorHAnsi"/>
          <w:noProof/>
          <w:color w:val="000000" w:themeColor="text1"/>
          <w:sz w:val="24"/>
          <w:szCs w:val="24"/>
          <w:lang w:eastAsia="fr-LU"/>
        </w:rPr>
      </w:pPr>
    </w:p>
    <w:p w14:paraId="41B326F6" w14:textId="77777777" w:rsidR="003828B0" w:rsidRDefault="003828B0">
      <w:pPr>
        <w:rPr>
          <w:rFonts w:eastAsia="Times New Roman" w:cstheme="minorHAnsi"/>
          <w:noProof/>
          <w:color w:val="000000" w:themeColor="text1"/>
          <w:sz w:val="24"/>
          <w:szCs w:val="24"/>
          <w:lang w:eastAsia="fr-LU"/>
        </w:rPr>
      </w:pPr>
    </w:p>
    <w:p w14:paraId="10137348" w14:textId="77777777" w:rsidR="003828B0" w:rsidRDefault="003828B0">
      <w:pPr>
        <w:rPr>
          <w:rFonts w:eastAsia="Times New Roman" w:cstheme="minorHAnsi"/>
          <w:noProof/>
          <w:color w:val="000000" w:themeColor="text1"/>
          <w:sz w:val="24"/>
          <w:szCs w:val="24"/>
          <w:lang w:eastAsia="fr-LU"/>
        </w:rPr>
      </w:pPr>
    </w:p>
    <w:p w14:paraId="0138F80D" w14:textId="6A8CAF68" w:rsidR="00C0532A" w:rsidRPr="001778BE" w:rsidRDefault="003828B0">
      <w:pPr>
        <w:rPr>
          <w:rFonts w:eastAsia="Times New Roman" w:cstheme="minorHAnsi"/>
          <w:i/>
          <w:iCs/>
          <w:noProof/>
          <w:color w:val="000000" w:themeColor="text1"/>
          <w:sz w:val="24"/>
          <w:szCs w:val="24"/>
          <w:u w:val="single"/>
          <w:lang w:eastAsia="fr-LU"/>
        </w:rPr>
      </w:pPr>
      <w:r>
        <w:rPr>
          <w:rFonts w:eastAsia="Times New Roman" w:cstheme="minorHAnsi"/>
          <w:noProof/>
          <w:color w:val="000000" w:themeColor="text1"/>
          <w:sz w:val="24"/>
          <w:szCs w:val="24"/>
          <w:lang w:eastAsia="fr-LU"/>
        </w:rPr>
        <w:br w:type="page"/>
      </w:r>
      <w:r w:rsidR="00C0532A" w:rsidRPr="001778BE">
        <w:rPr>
          <w:rFonts w:eastAsia="Times New Roman" w:cstheme="minorHAnsi"/>
          <w:i/>
          <w:iCs/>
          <w:noProof/>
          <w:color w:val="000000" w:themeColor="text1"/>
          <w:sz w:val="24"/>
          <w:szCs w:val="24"/>
          <w:u w:val="single"/>
          <w:lang w:eastAsia="fr-LU"/>
        </w:rPr>
        <w:lastRenderedPageBreak/>
        <w:t>6.2)</w:t>
      </w:r>
      <w:r w:rsidR="001778BE">
        <w:rPr>
          <w:rFonts w:eastAsia="Times New Roman" w:cstheme="minorHAnsi"/>
          <w:i/>
          <w:iCs/>
          <w:noProof/>
          <w:color w:val="000000" w:themeColor="text1"/>
          <w:sz w:val="24"/>
          <w:szCs w:val="24"/>
          <w:u w:val="single"/>
          <w:lang w:eastAsia="fr-LU"/>
        </w:rPr>
        <w:tab/>
      </w:r>
      <w:r w:rsidR="00C0532A" w:rsidRPr="001778BE">
        <w:rPr>
          <w:rFonts w:eastAsia="Times New Roman" w:cstheme="minorHAnsi"/>
          <w:i/>
          <w:iCs/>
          <w:noProof/>
          <w:color w:val="000000" w:themeColor="text1"/>
          <w:sz w:val="24"/>
          <w:szCs w:val="24"/>
          <w:u w:val="single"/>
          <w:lang w:eastAsia="fr-LU"/>
        </w:rPr>
        <w:t>Données propres à la Section des Développeurs :</w:t>
      </w:r>
    </w:p>
    <w:p w14:paraId="67F6A1B5" w14:textId="6A147959" w:rsidR="00D10D05" w:rsidRDefault="001778BE">
      <w:pPr>
        <w:rPr>
          <w:rFonts w:eastAsia="Times New Roman" w:cstheme="minorHAnsi"/>
          <w:noProof/>
          <w:color w:val="000000" w:themeColor="text1"/>
          <w:sz w:val="24"/>
          <w:szCs w:val="24"/>
          <w:lang w:eastAsia="fr-LU"/>
        </w:rPr>
      </w:pPr>
      <w:r>
        <w:rPr>
          <w:rFonts w:eastAsia="Times New Roman" w:cstheme="minorHAnsi"/>
          <w:noProof/>
          <w:color w:val="000000" w:themeColor="text1"/>
          <w:sz w:val="24"/>
          <w:szCs w:val="24"/>
          <w:lang w:eastAsia="fr-LU"/>
        </w:rPr>
        <w:t>C</w:t>
      </w:r>
      <w:r w:rsidR="00570FA8" w:rsidRPr="00570FA8">
        <w:rPr>
          <w:rFonts w:eastAsia="Times New Roman" w:cstheme="minorHAnsi"/>
          <w:noProof/>
          <w:color w:val="000000" w:themeColor="text1"/>
          <w:sz w:val="24"/>
          <w:szCs w:val="24"/>
          <w:lang w:eastAsia="fr-LU"/>
        </w:rPr>
        <w:t xml:space="preserve">es </w:t>
      </w:r>
      <w:r>
        <w:rPr>
          <w:rFonts w:eastAsia="Times New Roman" w:cstheme="minorHAnsi"/>
          <w:noProof/>
          <w:color w:val="000000" w:themeColor="text1"/>
          <w:sz w:val="24"/>
          <w:szCs w:val="24"/>
          <w:lang w:eastAsia="fr-LU"/>
        </w:rPr>
        <w:t>données se basent sur un questionnaire envoyé trimestriellement aux membres de la section des Développeurs. Les questions de cette enquête se trouvent en fin d’annexe.</w:t>
      </w:r>
    </w:p>
    <w:p w14:paraId="736B2DF2" w14:textId="5846FA82" w:rsidR="001778BE" w:rsidRPr="001778BE" w:rsidRDefault="001778BE" w:rsidP="001778BE">
      <w:pPr>
        <w:rPr>
          <w:rFonts w:ascii="Calibri" w:eastAsia="Times New Roman" w:hAnsi="Calibri" w:cs="Calibri"/>
          <w:noProof/>
          <w:color w:val="000000" w:themeColor="text1"/>
          <w:sz w:val="24"/>
          <w:szCs w:val="24"/>
          <w:u w:val="single"/>
          <w:lang w:eastAsia="fr-LU"/>
        </w:rPr>
      </w:pPr>
      <w:r w:rsidRPr="001778BE">
        <w:rPr>
          <w:rFonts w:ascii="Calibri" w:eastAsia="Times New Roman" w:hAnsi="Calibri" w:cs="Calibri"/>
          <w:noProof/>
          <w:color w:val="000000" w:themeColor="text1"/>
          <w:sz w:val="24"/>
          <w:szCs w:val="24"/>
          <w:u w:val="single"/>
          <w:lang w:eastAsia="fr-LU"/>
        </w:rPr>
        <w:t>Résultats de l’enquête interne:</w:t>
      </w:r>
    </w:p>
    <w:p w14:paraId="71CE80A4" w14:textId="59B38587" w:rsidR="001778BE" w:rsidRPr="001B1ABB" w:rsidRDefault="001778BE" w:rsidP="001778BE">
      <w:pPr>
        <w:pStyle w:val="Paragraphedeliste"/>
        <w:numPr>
          <w:ilvl w:val="0"/>
          <w:numId w:val="16"/>
        </w:numPr>
        <w:rPr>
          <w:rFonts w:ascii="Calibri" w:eastAsia="Times New Roman" w:hAnsi="Calibri" w:cs="Calibri"/>
          <w:noProof/>
          <w:color w:val="000000" w:themeColor="text1"/>
          <w:sz w:val="13"/>
          <w:szCs w:val="13"/>
          <w:lang w:eastAsia="fr-LU"/>
        </w:rPr>
      </w:pPr>
      <w:r>
        <w:rPr>
          <w:rFonts w:ascii="Calibri" w:eastAsia="Times New Roman" w:hAnsi="Calibri" w:cs="Calibri"/>
          <w:noProof/>
          <w:color w:val="000000" w:themeColor="text1"/>
          <w:sz w:val="24"/>
          <w:szCs w:val="24"/>
          <w:lang w:eastAsia="fr-LU"/>
        </w:rPr>
        <w:t>Recul net (4</w:t>
      </w:r>
      <w:r w:rsidR="00841BD0">
        <w:rPr>
          <w:rFonts w:ascii="Calibri" w:eastAsia="Times New Roman" w:hAnsi="Calibri" w:cs="Calibri"/>
          <w:noProof/>
          <w:color w:val="000000" w:themeColor="text1"/>
          <w:sz w:val="24"/>
          <w:szCs w:val="24"/>
          <w:lang w:eastAsia="fr-LU"/>
        </w:rPr>
        <w:t>2</w:t>
      </w:r>
      <w:r>
        <w:rPr>
          <w:rFonts w:ascii="Calibri" w:eastAsia="Times New Roman" w:hAnsi="Calibri" w:cs="Calibri"/>
          <w:noProof/>
          <w:color w:val="000000" w:themeColor="text1"/>
          <w:sz w:val="24"/>
          <w:szCs w:val="24"/>
          <w:lang w:eastAsia="fr-LU"/>
        </w:rPr>
        <w:t>%) de ventes d’appartements</w:t>
      </w:r>
      <w:r w:rsidRPr="001B1ABB">
        <w:rPr>
          <w:rFonts w:ascii="Calibri" w:eastAsia="Times New Roman" w:hAnsi="Calibri" w:cs="Calibri"/>
          <w:noProof/>
          <w:color w:val="000000" w:themeColor="text1"/>
          <w:sz w:val="24"/>
          <w:szCs w:val="24"/>
          <w:lang w:eastAsia="fr-LU"/>
        </w:rPr>
        <w:t xml:space="preserve"> </w:t>
      </w:r>
      <w:r>
        <w:rPr>
          <w:rFonts w:ascii="Calibri" w:eastAsia="Times New Roman" w:hAnsi="Calibri" w:cs="Calibri"/>
          <w:noProof/>
          <w:color w:val="000000" w:themeColor="text1"/>
          <w:sz w:val="24"/>
          <w:szCs w:val="24"/>
          <w:lang w:eastAsia="fr-LU"/>
        </w:rPr>
        <w:t xml:space="preserve">neufs par apport </w:t>
      </w:r>
      <w:r w:rsidR="00841BD0">
        <w:rPr>
          <w:rFonts w:ascii="Calibri" w:eastAsia="Times New Roman" w:hAnsi="Calibri" w:cs="Calibri"/>
          <w:noProof/>
          <w:color w:val="000000" w:themeColor="text1"/>
          <w:sz w:val="24"/>
          <w:szCs w:val="24"/>
          <w:lang w:eastAsia="fr-LU"/>
        </w:rPr>
        <w:t>à</w:t>
      </w:r>
      <w:r>
        <w:rPr>
          <w:rFonts w:ascii="Calibri" w:eastAsia="Times New Roman" w:hAnsi="Calibri" w:cs="Calibri"/>
          <w:noProof/>
          <w:color w:val="000000" w:themeColor="text1"/>
          <w:sz w:val="24"/>
          <w:szCs w:val="24"/>
          <w:lang w:eastAsia="fr-LU"/>
        </w:rPr>
        <w:t xml:space="preserve"> T1 2025</w:t>
      </w:r>
      <w:r w:rsidR="00841BD0">
        <w:rPr>
          <w:rFonts w:ascii="Calibri" w:eastAsia="Times New Roman" w:hAnsi="Calibri" w:cs="Calibri"/>
          <w:noProof/>
          <w:color w:val="000000" w:themeColor="text1"/>
          <w:sz w:val="24"/>
          <w:szCs w:val="24"/>
          <w:lang w:eastAsia="fr-LU"/>
        </w:rPr>
        <w:t xml:space="preserve">, essentiellemt dû au recul des ventes VEFA (de T1 à T3 : 55%  recul) </w:t>
      </w:r>
    </w:p>
    <w:p w14:paraId="1A2A0ACB" w14:textId="1C76971D" w:rsidR="001778BE" w:rsidRPr="001B1ABB" w:rsidRDefault="001778BE" w:rsidP="001778BE">
      <w:pPr>
        <w:pStyle w:val="Paragraphedeliste"/>
        <w:numPr>
          <w:ilvl w:val="0"/>
          <w:numId w:val="16"/>
        </w:numPr>
        <w:rPr>
          <w:rFonts w:ascii="Calibri" w:eastAsia="Times New Roman" w:hAnsi="Calibri" w:cs="Calibri"/>
          <w:noProof/>
          <w:color w:val="000000" w:themeColor="text1"/>
          <w:sz w:val="13"/>
          <w:szCs w:val="13"/>
          <w:lang w:eastAsia="fr-LU"/>
        </w:rPr>
      </w:pPr>
      <w:r>
        <w:rPr>
          <w:rFonts w:ascii="Calibri" w:eastAsia="Times New Roman" w:hAnsi="Calibri" w:cs="Calibri"/>
          <w:noProof/>
          <w:color w:val="000000" w:themeColor="text1"/>
          <w:sz w:val="24"/>
          <w:szCs w:val="24"/>
          <w:lang w:eastAsia="fr-LU"/>
        </w:rPr>
        <w:t>L’augmentation proportionelle de ventes d’appartements plus grands</w:t>
      </w:r>
      <w:r w:rsidRPr="001B1ABB">
        <w:rPr>
          <w:rFonts w:ascii="Calibri" w:eastAsia="Times New Roman" w:hAnsi="Calibri" w:cs="Calibri"/>
          <w:noProof/>
          <w:color w:val="000000" w:themeColor="text1"/>
          <w:sz w:val="24"/>
          <w:szCs w:val="24"/>
          <w:lang w:eastAsia="fr-LU"/>
        </w:rPr>
        <w:t xml:space="preserve"> </w:t>
      </w:r>
      <w:r>
        <w:rPr>
          <w:rFonts w:ascii="Calibri" w:eastAsia="Times New Roman" w:hAnsi="Calibri" w:cs="Calibri"/>
          <w:noProof/>
          <w:color w:val="000000" w:themeColor="text1"/>
          <w:sz w:val="24"/>
          <w:szCs w:val="24"/>
          <w:lang w:eastAsia="fr-LU"/>
        </w:rPr>
        <w:t xml:space="preserve">(3+ pièces) peut être interprété comme indication pour le retrait d’investisseurs privés. </w:t>
      </w:r>
    </w:p>
    <w:p w14:paraId="126CDB9F" w14:textId="14C774D3" w:rsidR="001778BE" w:rsidRPr="001778BE" w:rsidRDefault="001778BE" w:rsidP="001778B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 w:themeColor="text1"/>
          <w:sz w:val="20"/>
          <w:szCs w:val="20"/>
          <w:lang w:eastAsia="fr-LU"/>
        </w:rPr>
      </w:pPr>
      <w:r w:rsidRPr="001778BE">
        <w:rPr>
          <w:rFonts w:ascii="Calibri" w:eastAsia="Times New Roman" w:hAnsi="Calibri" w:cs="Calibri"/>
          <w:color w:val="000000" w:themeColor="text1"/>
          <w:sz w:val="20"/>
          <w:szCs w:val="20"/>
          <w:lang w:eastAsia="fr-LU"/>
        </w:rPr>
        <w:t>La 1</w:t>
      </w:r>
      <w:r w:rsidRPr="001778BE">
        <w:rPr>
          <w:rFonts w:ascii="Calibri" w:eastAsia="Times New Roman" w:hAnsi="Calibri" w:cs="Calibri"/>
          <w:color w:val="000000" w:themeColor="text1"/>
          <w:sz w:val="20"/>
          <w:szCs w:val="20"/>
          <w:vertAlign w:val="superscript"/>
          <w:lang w:eastAsia="fr-LU"/>
        </w:rPr>
        <w:t>re</w:t>
      </w:r>
      <w:r w:rsidRPr="001778BE">
        <w:rPr>
          <w:rFonts w:ascii="Calibri" w:eastAsia="Times New Roman" w:hAnsi="Calibri" w:cs="Calibri"/>
          <w:color w:val="000000" w:themeColor="text1"/>
          <w:sz w:val="20"/>
          <w:szCs w:val="20"/>
          <w:lang w:eastAsia="fr-LU"/>
        </w:rPr>
        <w:t xml:space="preserve"> colonne informe sur le nombre de réponses reçues, i.e. sur la base des données fournies (22 réponses en T1 / 23 réponses en T2 / 3</w:t>
      </w:r>
      <w:r>
        <w:rPr>
          <w:rFonts w:ascii="Calibri" w:eastAsia="Times New Roman" w:hAnsi="Calibri" w:cs="Calibri"/>
          <w:color w:val="000000" w:themeColor="text1"/>
          <w:sz w:val="20"/>
          <w:szCs w:val="20"/>
          <w:lang w:eastAsia="fr-LU"/>
        </w:rPr>
        <w:t>0</w:t>
      </w:r>
      <w:r w:rsidRPr="001778BE">
        <w:rPr>
          <w:rFonts w:ascii="Calibri" w:eastAsia="Times New Roman" w:hAnsi="Calibri" w:cs="Calibri"/>
          <w:color w:val="000000" w:themeColor="text1"/>
          <w:sz w:val="20"/>
          <w:szCs w:val="20"/>
          <w:lang w:eastAsia="fr-LU"/>
        </w:rPr>
        <w:t xml:space="preserve"> réponses en T3 / sur 38 membres). Pour « na », ces questions n’étaient pas posées en T1 et T2.</w:t>
      </w:r>
    </w:p>
    <w:p w14:paraId="0D79937C" w14:textId="0DA04E61" w:rsidR="0073747A" w:rsidRDefault="00002D65" w:rsidP="009647C4">
      <w:pPr>
        <w:rPr>
          <w:rFonts w:cstheme="minorHAnsi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fr-LU"/>
        </w:rPr>
        <w:drawing>
          <wp:inline distT="0" distB="0" distL="0" distR="0" wp14:anchorId="157360D1" wp14:editId="0CF86D41">
            <wp:extent cx="5760720" cy="1940560"/>
            <wp:effectExtent l="0" t="0" r="5080" b="2540"/>
            <wp:docPr id="923406100" name="Picture 1" descr="A screenshot of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406100" name="Picture 1" descr="A screenshot of a table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4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F1412" w14:textId="77777777" w:rsidR="0073747A" w:rsidRDefault="0073747A" w:rsidP="0073747A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color w:val="000000" w:themeColor="text1"/>
          <w:sz w:val="13"/>
          <w:szCs w:val="13"/>
          <w:lang w:eastAsia="fr-LU"/>
        </w:rPr>
      </w:pPr>
      <w:r>
        <w:rPr>
          <w:rFonts w:ascii="Calibri" w:eastAsia="Times New Roman" w:hAnsi="Calibri" w:cs="Calibri"/>
          <w:color w:val="000000" w:themeColor="text1"/>
          <w:sz w:val="13"/>
          <w:szCs w:val="13"/>
          <w:lang w:eastAsia="fr-LU"/>
        </w:rPr>
        <w:t>Sources propres</w:t>
      </w:r>
    </w:p>
    <w:p w14:paraId="6C33763D" w14:textId="21F0CB0D" w:rsidR="0073747A" w:rsidRDefault="0073747A" w:rsidP="009647C4">
      <w:pPr>
        <w:rPr>
          <w:rFonts w:cstheme="minorHAnsi"/>
        </w:rPr>
      </w:pPr>
    </w:p>
    <w:p w14:paraId="1A0A744B" w14:textId="46CB2D78" w:rsidR="0073747A" w:rsidRDefault="00260B8A" w:rsidP="00841BD0">
      <w:pPr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7B9C26A3" wp14:editId="30833772">
            <wp:extent cx="5727700" cy="3225800"/>
            <wp:effectExtent l="0" t="0" r="0" b="0"/>
            <wp:docPr id="115883105" name="Picture 3" descr="A graph of a number of objec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83105" name="Picture 3" descr="A graph of a number of objects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1991E" w14:textId="730192E5" w:rsidR="0073747A" w:rsidRDefault="0073747A" w:rsidP="009647C4">
      <w:pPr>
        <w:rPr>
          <w:rFonts w:cstheme="minorHAnsi"/>
        </w:rPr>
      </w:pPr>
    </w:p>
    <w:p w14:paraId="1E1D61AC" w14:textId="77777777" w:rsidR="00841BD0" w:rsidRDefault="00841BD0" w:rsidP="0073747A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color w:val="000000" w:themeColor="text1"/>
          <w:sz w:val="13"/>
          <w:szCs w:val="13"/>
          <w:lang w:eastAsia="fr-LU"/>
        </w:rPr>
      </w:pPr>
    </w:p>
    <w:p w14:paraId="510AAB9F" w14:textId="77777777" w:rsidR="00841BD0" w:rsidRDefault="00841BD0" w:rsidP="00841BD0">
      <w:pPr>
        <w:pStyle w:val="Paragraphedeliste"/>
        <w:numPr>
          <w:ilvl w:val="0"/>
          <w:numId w:val="16"/>
        </w:numPr>
        <w:rPr>
          <w:rFonts w:eastAsia="Times New Roman" w:cstheme="minorHAnsi"/>
          <w:noProof/>
          <w:color w:val="000000" w:themeColor="text1"/>
          <w:sz w:val="24"/>
          <w:szCs w:val="24"/>
          <w:lang w:eastAsia="fr-LU"/>
        </w:rPr>
      </w:pPr>
      <w:r w:rsidRPr="001B1ABB">
        <w:rPr>
          <w:rFonts w:eastAsia="Times New Roman" w:cstheme="minorHAnsi"/>
          <w:noProof/>
          <w:color w:val="000000" w:themeColor="text1"/>
          <w:sz w:val="24"/>
          <w:szCs w:val="24"/>
          <w:lang w:eastAsia="fr-LU"/>
        </w:rPr>
        <w:t>Le retrait des investisseurs privés</w:t>
      </w:r>
      <w:r>
        <w:rPr>
          <w:rFonts w:eastAsia="Times New Roman" w:cstheme="minorHAnsi"/>
          <w:noProof/>
          <w:color w:val="000000" w:themeColor="text1"/>
          <w:sz w:val="24"/>
          <w:szCs w:val="24"/>
          <w:lang w:eastAsia="fr-LU"/>
        </w:rPr>
        <w:t xml:space="preserve"> devient assez clair ici : de 30 % des ventes en T1 à 19 % des ventes en T3</w:t>
      </w:r>
    </w:p>
    <w:p w14:paraId="7D4FE5D4" w14:textId="5E3F8A15" w:rsidR="00841BD0" w:rsidRDefault="00841BD0" w:rsidP="00841BD0">
      <w:pPr>
        <w:pStyle w:val="Paragraphedeliste"/>
        <w:numPr>
          <w:ilvl w:val="0"/>
          <w:numId w:val="16"/>
        </w:numPr>
        <w:rPr>
          <w:rFonts w:eastAsia="Times New Roman" w:cstheme="minorHAnsi"/>
          <w:noProof/>
          <w:color w:val="000000" w:themeColor="text1"/>
          <w:sz w:val="24"/>
          <w:szCs w:val="24"/>
          <w:lang w:eastAsia="fr-LU"/>
        </w:rPr>
      </w:pPr>
      <w:r>
        <w:rPr>
          <w:rFonts w:eastAsia="Times New Roman" w:cstheme="minorHAnsi"/>
          <w:noProof/>
          <w:color w:val="000000" w:themeColor="text1"/>
          <w:sz w:val="24"/>
          <w:szCs w:val="24"/>
          <w:lang w:eastAsia="fr-LU"/>
        </w:rPr>
        <w:t xml:space="preserve">Le rôle des banques reste prépondérant. Sans cet acteur clé du marché immobilier, les ventes/achats ne sont pas possibles. </w:t>
      </w:r>
    </w:p>
    <w:p w14:paraId="01B979C5" w14:textId="44602EFB" w:rsidR="00841BD0" w:rsidRPr="00841BD0" w:rsidRDefault="00841BD0" w:rsidP="00841BD0">
      <w:pPr>
        <w:pStyle w:val="Paragraphedeliste"/>
        <w:numPr>
          <w:ilvl w:val="0"/>
          <w:numId w:val="16"/>
        </w:numPr>
        <w:rPr>
          <w:rFonts w:ascii="Calibri" w:eastAsia="Times New Roman" w:hAnsi="Calibri" w:cs="Calibri"/>
          <w:color w:val="000000" w:themeColor="text1"/>
          <w:sz w:val="13"/>
          <w:szCs w:val="13"/>
          <w:lang w:eastAsia="fr-LU"/>
        </w:rPr>
      </w:pPr>
      <w:r w:rsidRPr="00841BD0">
        <w:rPr>
          <w:rFonts w:eastAsia="Times New Roman" w:cstheme="minorHAnsi"/>
          <w:noProof/>
          <w:color w:val="000000" w:themeColor="text1"/>
          <w:sz w:val="24"/>
          <w:szCs w:val="24"/>
          <w:lang w:eastAsia="fr-LU"/>
        </w:rPr>
        <w:t>Cependant, une certaine baisse des transactions effectuées avec les banques peut aussi indiquer un retrait des investisseurs privés.</w:t>
      </w:r>
    </w:p>
    <w:p w14:paraId="5D1FD822" w14:textId="2B80A7FE" w:rsidR="0073747A" w:rsidRPr="000D67A2" w:rsidRDefault="00002D65" w:rsidP="0073747A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color w:val="000000" w:themeColor="text1"/>
          <w:sz w:val="13"/>
          <w:szCs w:val="13"/>
          <w:lang w:eastAsia="fr-LU"/>
        </w:rPr>
      </w:pPr>
      <w:r>
        <w:rPr>
          <w:rFonts w:ascii="Calibri" w:eastAsia="Times New Roman" w:hAnsi="Calibri" w:cs="Calibri"/>
          <w:noProof/>
          <w:color w:val="000000" w:themeColor="text1"/>
          <w:sz w:val="13"/>
          <w:szCs w:val="13"/>
          <w:lang w:eastAsia="fr-LU"/>
        </w:rPr>
        <w:drawing>
          <wp:inline distT="0" distB="0" distL="0" distR="0" wp14:anchorId="34B5305D" wp14:editId="65C51656">
            <wp:extent cx="5760720" cy="2193925"/>
            <wp:effectExtent l="0" t="0" r="5080" b="3175"/>
            <wp:docPr id="425199509" name="Picture 4" descr="A table with numbers and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199509" name="Picture 4" descr="A table with numbers and words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9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747A">
        <w:rPr>
          <w:rFonts w:ascii="Calibri" w:eastAsia="Times New Roman" w:hAnsi="Calibri" w:cs="Calibri"/>
          <w:color w:val="000000" w:themeColor="text1"/>
          <w:sz w:val="13"/>
          <w:szCs w:val="13"/>
          <w:lang w:eastAsia="fr-LU"/>
        </w:rPr>
        <w:t>Sources propres</w:t>
      </w:r>
    </w:p>
    <w:p w14:paraId="0B31A010" w14:textId="18E75DBE" w:rsidR="0073747A" w:rsidRDefault="00260B8A" w:rsidP="00841BD0">
      <w:pPr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7F04139E" wp14:editId="5A718D2E">
            <wp:extent cx="5731510" cy="3375660"/>
            <wp:effectExtent l="0" t="0" r="0" b="2540"/>
            <wp:docPr id="76171255" name="Picture 6" descr="A graph showing a number of different colored squar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71255" name="Picture 6" descr="A graph showing a number of different colored squares&#10;&#10;Description automatically generated with medium confidenc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4D089" w14:textId="77777777" w:rsidR="00260B8A" w:rsidRDefault="00260B8A" w:rsidP="00841BD0">
      <w:pPr>
        <w:jc w:val="center"/>
        <w:rPr>
          <w:rFonts w:cstheme="minorHAnsi"/>
        </w:rPr>
      </w:pPr>
    </w:p>
    <w:p w14:paraId="198FB469" w14:textId="77777777" w:rsidR="0073747A" w:rsidRDefault="0073747A" w:rsidP="009647C4">
      <w:pPr>
        <w:rPr>
          <w:rFonts w:cstheme="minorHAnsi"/>
        </w:rPr>
      </w:pPr>
    </w:p>
    <w:p w14:paraId="4B600B47" w14:textId="77777777" w:rsidR="0073747A" w:rsidRDefault="0073747A" w:rsidP="009647C4">
      <w:pPr>
        <w:rPr>
          <w:rFonts w:cstheme="minorHAnsi"/>
        </w:rPr>
      </w:pPr>
    </w:p>
    <w:p w14:paraId="496BE2DE" w14:textId="26656DDD" w:rsidR="0073747A" w:rsidRDefault="0073747A" w:rsidP="009647C4">
      <w:pPr>
        <w:rPr>
          <w:rFonts w:cstheme="minorHAnsi"/>
        </w:rPr>
      </w:pPr>
    </w:p>
    <w:p w14:paraId="7F5965D0" w14:textId="77777777" w:rsidR="0073747A" w:rsidRDefault="0073747A" w:rsidP="009647C4">
      <w:pPr>
        <w:rPr>
          <w:rFonts w:cstheme="minorHAnsi"/>
        </w:rPr>
      </w:pPr>
    </w:p>
    <w:p w14:paraId="21BFD923" w14:textId="77777777" w:rsidR="005431D1" w:rsidRPr="001B1ABB" w:rsidRDefault="005431D1" w:rsidP="005431D1">
      <w:pPr>
        <w:pStyle w:val="Paragraphedeliste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1B1ABB">
        <w:rPr>
          <w:rFonts w:ascii="Calibri" w:eastAsia="Times New Roman" w:hAnsi="Calibri" w:cs="Calibri"/>
          <w:color w:val="000000" w:themeColor="text1"/>
          <w:sz w:val="24"/>
          <w:szCs w:val="24"/>
          <w:lang w:eastAsia="en-GB"/>
        </w:rPr>
        <w:lastRenderedPageBreak/>
        <w:t xml:space="preserve">Prolog s’est avéré sans impact réel, avec un seul nouveau dossier en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en-GB"/>
        </w:rPr>
        <w:t>T</w:t>
      </w:r>
      <w:r w:rsidRPr="001B1ABB">
        <w:rPr>
          <w:rFonts w:ascii="Calibri" w:eastAsia="Times New Roman" w:hAnsi="Calibri" w:cs="Calibri"/>
          <w:color w:val="000000" w:themeColor="text1"/>
          <w:sz w:val="24"/>
          <w:szCs w:val="24"/>
          <w:lang w:eastAsia="en-GB"/>
        </w:rPr>
        <w:t>3</w:t>
      </w:r>
    </w:p>
    <w:p w14:paraId="57F9D87F" w14:textId="77777777" w:rsidR="005431D1" w:rsidRPr="001B1ABB" w:rsidRDefault="005431D1" w:rsidP="005431D1">
      <w:pPr>
        <w:pStyle w:val="Paragraphedeliste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1B1ABB">
        <w:rPr>
          <w:rFonts w:ascii="Calibri" w:eastAsia="Times New Roman" w:hAnsi="Calibri" w:cs="Calibri"/>
          <w:color w:val="000000" w:themeColor="text1"/>
          <w:sz w:val="24"/>
          <w:szCs w:val="24"/>
          <w:lang w:eastAsia="en-GB"/>
        </w:rPr>
        <w:t>Plus que la moitié des ventes du stock se sont faites aux prix listés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eastAsia="en-GB"/>
        </w:rPr>
        <w:t>,</w:t>
      </w:r>
      <w:r w:rsidRPr="001B1ABB">
        <w:rPr>
          <w:rFonts w:ascii="Calibri" w:eastAsia="Times New Roman" w:hAnsi="Calibri" w:cs="Calibri"/>
          <w:color w:val="000000" w:themeColor="text1"/>
          <w:sz w:val="24"/>
          <w:szCs w:val="24"/>
          <w:lang w:eastAsia="en-GB"/>
        </w:rPr>
        <w:t xml:space="preserve"> donc sans réduction de prix, signe que les prix pratiqués ont bien trouvé leur marché, mais que le secteur souffre sous une crise de confiance aggravée.</w:t>
      </w:r>
    </w:p>
    <w:p w14:paraId="3056245F" w14:textId="2E7C4083" w:rsidR="0073747A" w:rsidRPr="005431D1" w:rsidRDefault="0073747A" w:rsidP="005431D1">
      <w:pPr>
        <w:ind w:left="360"/>
        <w:rPr>
          <w:rFonts w:eastAsia="Times New Roman" w:cstheme="minorHAnsi"/>
          <w:noProof/>
          <w:color w:val="000000" w:themeColor="text1"/>
          <w:sz w:val="24"/>
          <w:szCs w:val="24"/>
          <w:lang w:eastAsia="fr-LU"/>
        </w:rPr>
      </w:pPr>
    </w:p>
    <w:p w14:paraId="10AFC492" w14:textId="5E9B2003" w:rsidR="0073747A" w:rsidRDefault="0073747A" w:rsidP="009647C4">
      <w:pPr>
        <w:rPr>
          <w:rFonts w:cstheme="minorHAnsi"/>
        </w:rPr>
      </w:pPr>
    </w:p>
    <w:p w14:paraId="5407421D" w14:textId="1F880AA3" w:rsidR="0073747A" w:rsidRDefault="00002D65" w:rsidP="0073747A">
      <w:pPr>
        <w:jc w:val="right"/>
        <w:rPr>
          <w:rFonts w:cstheme="minorHAnsi"/>
        </w:rPr>
      </w:pPr>
      <w:r>
        <w:rPr>
          <w:rFonts w:eastAsia="Times New Roman" w:cstheme="minorHAnsi"/>
          <w:noProof/>
          <w:color w:val="000000" w:themeColor="text1"/>
          <w:sz w:val="13"/>
          <w:szCs w:val="13"/>
          <w:lang w:eastAsia="fr-LU"/>
        </w:rPr>
        <w:drawing>
          <wp:inline distT="0" distB="0" distL="0" distR="0" wp14:anchorId="410CD679" wp14:editId="74B7BB02">
            <wp:extent cx="5760720" cy="1923415"/>
            <wp:effectExtent l="0" t="0" r="5080" b="0"/>
            <wp:docPr id="922234416" name="Picture 5" descr="A table with numbers and a few green and white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234416" name="Picture 5" descr="A table with numbers and a few green and white squares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747A">
        <w:rPr>
          <w:rFonts w:eastAsia="Times New Roman" w:cstheme="minorHAnsi"/>
          <w:color w:val="000000" w:themeColor="text1"/>
          <w:sz w:val="13"/>
          <w:szCs w:val="13"/>
          <w:lang w:eastAsia="fr-LU"/>
        </w:rPr>
        <w:t>Sources propres</w:t>
      </w:r>
    </w:p>
    <w:p w14:paraId="4A8720CA" w14:textId="77777777" w:rsidR="0073747A" w:rsidRDefault="0073747A" w:rsidP="009647C4">
      <w:pPr>
        <w:rPr>
          <w:rFonts w:cstheme="minorHAnsi"/>
        </w:rPr>
      </w:pPr>
    </w:p>
    <w:p w14:paraId="4784BD46" w14:textId="539B0866" w:rsidR="0073747A" w:rsidRDefault="0073747A" w:rsidP="0073747A">
      <w:pPr>
        <w:jc w:val="center"/>
        <w:rPr>
          <w:rFonts w:cstheme="minorHAnsi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fr-LU"/>
        </w:rPr>
        <w:drawing>
          <wp:inline distT="0" distB="0" distL="0" distR="0" wp14:anchorId="2AFAB64E" wp14:editId="6F308F25">
            <wp:extent cx="2819179" cy="2944167"/>
            <wp:effectExtent l="0" t="0" r="635" b="2540"/>
            <wp:docPr id="957224061" name="Picture 9" descr="A graph of a pie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224061" name="Picture 9" descr="A graph of a pie chart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363" cy="296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A7976" w14:textId="77777777" w:rsidR="0073747A" w:rsidRDefault="0073747A" w:rsidP="0073747A">
      <w:pPr>
        <w:spacing w:before="100" w:beforeAutospacing="1" w:line="235" w:lineRule="atLeast"/>
        <w:rPr>
          <w:rFonts w:ascii="Calibri" w:eastAsia="Times New Roman" w:hAnsi="Calibri" w:cs="Calibri"/>
          <w:color w:val="000000" w:themeColor="text1"/>
          <w:lang w:eastAsia="en-GB"/>
        </w:rPr>
      </w:pPr>
    </w:p>
    <w:p w14:paraId="5468352D" w14:textId="1410FD08" w:rsidR="001B1ABB" w:rsidRPr="001B1ABB" w:rsidRDefault="001B1ABB" w:rsidP="001B1ABB">
      <w:pPr>
        <w:rPr>
          <w:rFonts w:cstheme="minorHAnsi"/>
          <w:sz w:val="24"/>
          <w:szCs w:val="24"/>
        </w:rPr>
        <w:sectPr w:rsidR="001B1ABB" w:rsidRPr="001B1ABB" w:rsidSect="00C0532A">
          <w:pgSz w:w="11906" w:h="16838"/>
          <w:pgMar w:top="1417" w:right="1417" w:bottom="998" w:left="1417" w:header="708" w:footer="708" w:gutter="0"/>
          <w:cols w:space="708"/>
          <w:docGrid w:linePitch="360"/>
        </w:sectPr>
      </w:pPr>
    </w:p>
    <w:p w14:paraId="00E0908B" w14:textId="049EA955" w:rsidR="005431D1" w:rsidRPr="001778BE" w:rsidRDefault="005431D1" w:rsidP="005431D1">
      <w:pPr>
        <w:rPr>
          <w:rFonts w:eastAsia="Times New Roman" w:cstheme="minorHAnsi"/>
          <w:i/>
          <w:iCs/>
          <w:noProof/>
          <w:color w:val="000000" w:themeColor="text1"/>
          <w:sz w:val="24"/>
          <w:szCs w:val="24"/>
          <w:u w:val="single"/>
          <w:lang w:eastAsia="fr-LU"/>
        </w:rPr>
      </w:pPr>
      <w:r w:rsidRPr="001778BE">
        <w:rPr>
          <w:rFonts w:eastAsia="Times New Roman" w:cstheme="minorHAnsi"/>
          <w:i/>
          <w:iCs/>
          <w:noProof/>
          <w:color w:val="000000" w:themeColor="text1"/>
          <w:sz w:val="24"/>
          <w:szCs w:val="24"/>
          <w:u w:val="single"/>
          <w:lang w:eastAsia="fr-LU"/>
        </w:rPr>
        <w:lastRenderedPageBreak/>
        <w:t>6.</w:t>
      </w:r>
      <w:r>
        <w:rPr>
          <w:rFonts w:eastAsia="Times New Roman" w:cstheme="minorHAnsi"/>
          <w:i/>
          <w:iCs/>
          <w:noProof/>
          <w:color w:val="000000" w:themeColor="text1"/>
          <w:sz w:val="24"/>
          <w:szCs w:val="24"/>
          <w:u w:val="single"/>
          <w:lang w:eastAsia="fr-LU"/>
        </w:rPr>
        <w:t>3</w:t>
      </w:r>
      <w:r w:rsidRPr="001778BE">
        <w:rPr>
          <w:rFonts w:eastAsia="Times New Roman" w:cstheme="minorHAnsi"/>
          <w:i/>
          <w:iCs/>
          <w:noProof/>
          <w:color w:val="000000" w:themeColor="text1"/>
          <w:sz w:val="24"/>
          <w:szCs w:val="24"/>
          <w:u w:val="single"/>
          <w:lang w:eastAsia="fr-LU"/>
        </w:rPr>
        <w:t>)</w:t>
      </w:r>
      <w:r>
        <w:rPr>
          <w:rFonts w:eastAsia="Times New Roman" w:cstheme="minorHAnsi"/>
          <w:i/>
          <w:iCs/>
          <w:noProof/>
          <w:color w:val="000000" w:themeColor="text1"/>
          <w:sz w:val="24"/>
          <w:szCs w:val="24"/>
          <w:u w:val="single"/>
          <w:lang w:eastAsia="fr-LU"/>
        </w:rPr>
        <w:tab/>
        <w:t>Questionnaire de l’enquête interne</w:t>
      </w:r>
      <w:r w:rsidRPr="001778BE">
        <w:rPr>
          <w:rFonts w:eastAsia="Times New Roman" w:cstheme="minorHAnsi"/>
          <w:i/>
          <w:iCs/>
          <w:noProof/>
          <w:color w:val="000000" w:themeColor="text1"/>
          <w:sz w:val="24"/>
          <w:szCs w:val="24"/>
          <w:u w:val="single"/>
          <w:lang w:eastAsia="fr-LU"/>
        </w:rPr>
        <w:t xml:space="preserve"> :</w:t>
      </w:r>
    </w:p>
    <w:p w14:paraId="7ED42E1D" w14:textId="1717E8A9" w:rsidR="00570FA8" w:rsidRDefault="00570FA8">
      <w:pPr>
        <w:rPr>
          <w:rFonts w:cstheme="minorHAnsi"/>
        </w:rPr>
      </w:pPr>
    </w:p>
    <w:p w14:paraId="1F56F509" w14:textId="77777777" w:rsidR="005431D1" w:rsidRDefault="005431D1">
      <w:pPr>
        <w:rPr>
          <w:rFonts w:cstheme="minorHAnsi"/>
        </w:rPr>
      </w:pPr>
    </w:p>
    <w:tbl>
      <w:tblPr>
        <w:tblW w:w="17207" w:type="dxa"/>
        <w:tblLayout w:type="fixed"/>
        <w:tblLook w:val="04A0" w:firstRow="1" w:lastRow="0" w:firstColumn="1" w:lastColumn="0" w:noHBand="0" w:noVBand="1"/>
      </w:tblPr>
      <w:tblGrid>
        <w:gridCol w:w="5245"/>
        <w:gridCol w:w="1859"/>
        <w:gridCol w:w="58"/>
        <w:gridCol w:w="834"/>
        <w:gridCol w:w="65"/>
        <w:gridCol w:w="1604"/>
        <w:gridCol w:w="445"/>
        <w:gridCol w:w="816"/>
        <w:gridCol w:w="938"/>
        <w:gridCol w:w="1502"/>
        <w:gridCol w:w="28"/>
        <w:gridCol w:w="133"/>
        <w:gridCol w:w="108"/>
        <w:gridCol w:w="1399"/>
        <w:gridCol w:w="118"/>
        <w:gridCol w:w="28"/>
        <w:gridCol w:w="133"/>
        <w:gridCol w:w="108"/>
        <w:gridCol w:w="1399"/>
        <w:gridCol w:w="118"/>
        <w:gridCol w:w="28"/>
        <w:gridCol w:w="133"/>
        <w:gridCol w:w="108"/>
      </w:tblGrid>
      <w:tr w:rsidR="00570FA8" w:rsidRPr="00D10D05" w14:paraId="0BE9B2A0" w14:textId="77777777" w:rsidTr="00570FA8">
        <w:trPr>
          <w:gridAfter w:val="3"/>
          <w:wAfter w:w="269" w:type="dxa"/>
          <w:trHeight w:val="320"/>
        </w:trPr>
        <w:tc>
          <w:tcPr>
            <w:tcW w:w="1336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2E23E" w14:textId="77777777" w:rsidR="00D10D05" w:rsidRPr="00D10D05" w:rsidRDefault="00D10D05" w:rsidP="00D10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Questionnaire membres Section Développeurs sur Etat du marché</w:t>
            </w: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3DC4" w14:textId="77777777" w:rsidR="00D10D05" w:rsidRPr="00D10D05" w:rsidRDefault="00D10D05" w:rsidP="00D10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4487D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69EDCB92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199DE" w14:textId="77777777" w:rsidR="00D10D05" w:rsidRPr="00D10D05" w:rsidRDefault="00D10D05" w:rsidP="00D10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(T3 2025)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C88B" w14:textId="77777777" w:rsidR="00D10D05" w:rsidRPr="00D10D05" w:rsidRDefault="00D10D05" w:rsidP="00D10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24FBD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9FE4B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D6E2B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8492E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C305E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86B01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715A5666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78172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DD159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227E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90979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D4EA8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F6BDB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98EE6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BB4F8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5185ED17" w14:textId="77777777" w:rsidTr="00570FA8">
        <w:trPr>
          <w:gridAfter w:val="3"/>
          <w:wAfter w:w="269" w:type="dxa"/>
          <w:trHeight w:val="320"/>
        </w:trPr>
        <w:tc>
          <w:tcPr>
            <w:tcW w:w="1336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16BC2" w14:textId="77777777" w:rsidR="00D10D05" w:rsidRPr="00D10D05" w:rsidRDefault="00D10D05" w:rsidP="00D10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>Objectif de l’étude : étude holistique et qualitative de l’état du secteur immobilier</w:t>
            </w: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D01C" w14:textId="77777777" w:rsidR="00D10D05" w:rsidRPr="00D10D05" w:rsidRDefault="00D10D05" w:rsidP="00D10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FABD3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0E75FB55" w14:textId="77777777" w:rsidTr="00570FA8">
        <w:trPr>
          <w:gridAfter w:val="2"/>
          <w:wAfter w:w="241" w:type="dxa"/>
          <w:trHeight w:val="320"/>
        </w:trPr>
        <w:tc>
          <w:tcPr>
            <w:tcW w:w="1011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048E6" w14:textId="2E1BBD35" w:rsidR="00D10D05" w:rsidRPr="00D10D05" w:rsidRDefault="00D10D05" w:rsidP="00D10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32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98E3A" w14:textId="77777777" w:rsidR="00D10D05" w:rsidRPr="00D10D05" w:rsidRDefault="00D10D05" w:rsidP="00D10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20569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66BC7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0D20E894" w14:textId="77777777" w:rsidTr="00570FA8">
        <w:trPr>
          <w:gridAfter w:val="2"/>
          <w:wAfter w:w="241" w:type="dxa"/>
          <w:trHeight w:val="320"/>
        </w:trPr>
        <w:tc>
          <w:tcPr>
            <w:tcW w:w="1011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B29D8" w14:textId="77777777" w:rsidR="00D10D05" w:rsidRPr="00D10D05" w:rsidRDefault="00D10D05" w:rsidP="00D10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 xml:space="preserve">- Évaluer l’impact des </w:t>
            </w:r>
            <w:r w:rsidRPr="00D10D0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  <w:t>mesures fiscales</w:t>
            </w:r>
            <w:r w:rsidRPr="00D10D05"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  <w:t xml:space="preserve"> sur les ventes immobilières</w:t>
            </w:r>
          </w:p>
        </w:tc>
        <w:tc>
          <w:tcPr>
            <w:tcW w:w="32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39C8" w14:textId="77777777" w:rsidR="00D10D05" w:rsidRPr="00D10D05" w:rsidRDefault="00D10D05" w:rsidP="00D10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2803B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E115B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4E10C370" w14:textId="77777777" w:rsidTr="00570FA8">
        <w:trPr>
          <w:gridAfter w:val="2"/>
          <w:wAfter w:w="241" w:type="dxa"/>
          <w:trHeight w:val="320"/>
        </w:trPr>
        <w:tc>
          <w:tcPr>
            <w:tcW w:w="1011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7B56A" w14:textId="5D697654" w:rsidR="00D10D05" w:rsidRPr="00D10D05" w:rsidRDefault="00D10D05" w:rsidP="00D10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32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76B98" w14:textId="77777777" w:rsidR="00D10D05" w:rsidRPr="00D10D05" w:rsidRDefault="00D10D05" w:rsidP="00D10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74FA7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7A4AC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0E4F044E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0DD20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FB4D9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9A05A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98D64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1F000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0EC18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E221E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FCB17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1DAA9CFA" w14:textId="77777777" w:rsidTr="00570FA8">
        <w:trPr>
          <w:gridAfter w:val="3"/>
          <w:wAfter w:w="269" w:type="dxa"/>
          <w:trHeight w:val="320"/>
        </w:trPr>
        <w:tc>
          <w:tcPr>
            <w:tcW w:w="1336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4DABD" w14:textId="77777777" w:rsidR="00D10D05" w:rsidRPr="00D10D05" w:rsidRDefault="00D10D05" w:rsidP="00D10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Questionnaire à compléter jusqu’au Vendredi 26/09/2025 à 10h00</w:t>
            </w: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83331" w14:textId="77777777" w:rsidR="00D10D05" w:rsidRPr="00D10D05" w:rsidRDefault="00D10D05" w:rsidP="00D10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0B0EC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0D03F968" w14:textId="77777777" w:rsidTr="00570FA8">
        <w:trPr>
          <w:gridAfter w:val="2"/>
          <w:wAfter w:w="241" w:type="dxa"/>
          <w:trHeight w:val="320"/>
        </w:trPr>
        <w:tc>
          <w:tcPr>
            <w:tcW w:w="1011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DFEE6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Vos réponses sont essentielles pour soutenir nos arguments auprès des décideurs politiques !</w:t>
            </w:r>
          </w:p>
        </w:tc>
        <w:tc>
          <w:tcPr>
            <w:tcW w:w="32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8B1EB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E61A9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54957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34F52FC0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7ABFC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DA5C2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CDAB1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EA2A0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1A44C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8DF15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322E9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F2F45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71AD405A" w14:textId="77777777" w:rsidTr="00570FA8">
        <w:trPr>
          <w:gridAfter w:val="1"/>
          <w:wAfter w:w="108" w:type="dxa"/>
          <w:trHeight w:val="320"/>
        </w:trPr>
        <w:tc>
          <w:tcPr>
            <w:tcW w:w="966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5AFBE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GB"/>
              </w:rPr>
              <w:t>Attention : nous souhaitons mettre en évidence les Ventes signées après le 30 Juin.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3E171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C8896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C8D8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E4F3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47A0C1CA" w14:textId="77777777" w:rsidTr="00570FA8">
        <w:trPr>
          <w:gridAfter w:val="3"/>
          <w:wAfter w:w="269" w:type="dxa"/>
          <w:trHeight w:val="320"/>
        </w:trPr>
        <w:tc>
          <w:tcPr>
            <w:tcW w:w="16938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AA320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GB"/>
              </w:rPr>
              <w:t>A cet effet, nous vous demandons de mentionner que les ventes (Contrat de réservation et Compromis de vente du Stock) signés après le 30 juin 2025.</w:t>
            </w:r>
          </w:p>
        </w:tc>
      </w:tr>
      <w:tr w:rsidR="00570FA8" w:rsidRPr="00D10D05" w14:paraId="195A09B1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740F0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3403B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3F9D1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38D5D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2D25F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D5916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F5AE9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F8625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2F515682" w14:textId="77777777" w:rsidTr="00570FA8">
        <w:trPr>
          <w:gridAfter w:val="1"/>
          <w:wAfter w:w="108" w:type="dxa"/>
          <w:trHeight w:val="320"/>
        </w:trPr>
        <w:tc>
          <w:tcPr>
            <w:tcW w:w="966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29362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0) Questions spéciales visant à évaluer l'effet des mesures fiscales sur les ventes: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E666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FC20D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5540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73AA3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1D8ABE96" w14:textId="77777777" w:rsidTr="00570FA8">
        <w:trPr>
          <w:gridAfter w:val="3"/>
          <w:wAfter w:w="269" w:type="dxa"/>
          <w:trHeight w:val="320"/>
        </w:trPr>
        <w:tc>
          <w:tcPr>
            <w:tcW w:w="16938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08427" w14:textId="30454A61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Le gouvernement a annoncé début juin la décision de prolonger les mesures d’incitation pour tout contrat de réservation enregistré avant le 30 juin </w:t>
            </w:r>
            <w:r w:rsidR="0057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br/>
            </w: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sous condition que l’acte soit signé jusqu’au 30 septembre au plus tard. </w:t>
            </w:r>
          </w:p>
        </w:tc>
      </w:tr>
      <w:tr w:rsidR="00570FA8" w:rsidRPr="00D10D05" w14:paraId="13F60A96" w14:textId="77777777" w:rsidTr="00570FA8">
        <w:trPr>
          <w:gridAfter w:val="3"/>
          <w:wAfter w:w="269" w:type="dxa"/>
          <w:trHeight w:val="320"/>
        </w:trPr>
        <w:tc>
          <w:tcPr>
            <w:tcW w:w="16938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E41FA" w14:textId="563DC94A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Nous souhaitons étudier l’impact sur les ventes suite à cette annonce et la comparer aux ventes dont les contrats de réservation ont été signés après que les incitations ont été arrêtés.</w:t>
            </w: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br/>
            </w:r>
            <w:r w:rsidR="00570FA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</w:t>
            </w: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nités de logement dont les contrats de réservation ont été signés entre le 1er juillet et le 30 septembre 2025:</w:t>
            </w:r>
          </w:p>
        </w:tc>
      </w:tr>
      <w:tr w:rsidR="00570FA8" w:rsidRPr="00D10D05" w14:paraId="72F79FF1" w14:textId="77777777" w:rsidTr="00570FA8">
        <w:trPr>
          <w:gridAfter w:val="1"/>
          <w:wAfter w:w="108" w:type="dxa"/>
          <w:trHeight w:val="320"/>
        </w:trPr>
        <w:tc>
          <w:tcPr>
            <w:tcW w:w="80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0CC38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0.1.a) nombre de contrats de réservation signés entre le 1er et 30 juin 2025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7753B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4010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__________</w:t>
            </w: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B6161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logements</w:t>
            </w: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3AF97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F62A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05E2CC4F" w14:textId="77777777" w:rsidTr="00570FA8">
        <w:trPr>
          <w:gridAfter w:val="1"/>
          <w:wAfter w:w="108" w:type="dxa"/>
          <w:trHeight w:val="320"/>
        </w:trPr>
        <w:tc>
          <w:tcPr>
            <w:tcW w:w="966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FD5F7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0.1.b) nombre de contrats de réservation signés entre le 1er juillet et le 30 septembre 2025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0307B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__________</w:t>
            </w: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D107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logements</w:t>
            </w: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FB436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5E12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2AB6629C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49829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E5634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DE5A8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00C90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EC270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5F929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475C1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6617B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42AFD01F" w14:textId="77777777" w:rsidTr="00570FA8">
        <w:trPr>
          <w:gridAfter w:val="2"/>
          <w:wAfter w:w="241" w:type="dxa"/>
          <w:trHeight w:val="320"/>
        </w:trPr>
        <w:tc>
          <w:tcPr>
            <w:tcW w:w="1011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1B39E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Combien des contrats de réservation signés en juin 2025 ont pu donner lieu à des actes notariés au 3ème trimestre</w:t>
            </w:r>
          </w:p>
        </w:tc>
        <w:tc>
          <w:tcPr>
            <w:tcW w:w="32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4900A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688BB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3124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47F34B74" w14:textId="77777777" w:rsidTr="00570FA8">
        <w:trPr>
          <w:gridAfter w:val="3"/>
          <w:wAfter w:w="269" w:type="dxa"/>
          <w:trHeight w:val="320"/>
        </w:trPr>
        <w:tc>
          <w:tcPr>
            <w:tcW w:w="1336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B2A5B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(Il s'agit de déterminer combien des contrats de réservation signés en juin 2025 ont pu être actés avant fin septembre)</w:t>
            </w: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4B54F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5FC8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2493DE21" w14:textId="77777777" w:rsidTr="00570FA8">
        <w:trPr>
          <w:gridAfter w:val="1"/>
          <w:wAfter w:w="108" w:type="dxa"/>
          <w:trHeight w:val="320"/>
        </w:trPr>
        <w:tc>
          <w:tcPr>
            <w:tcW w:w="80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28C23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 xml:space="preserve">0.2.a) nombre d'unités </w:t>
            </w:r>
            <w:r w:rsidRPr="00D10D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actés</w:t>
            </w: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en T3 </w:t>
            </w:r>
            <w:r w:rsidRPr="00D10D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avec</w:t>
            </w: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référence aux aides étatiques : 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7033E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__________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423EA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logements</w:t>
            </w: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78F0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65A1E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BFCF4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28BCD27D" w14:textId="77777777" w:rsidTr="00570FA8">
        <w:trPr>
          <w:gridAfter w:val="1"/>
          <w:wAfter w:w="108" w:type="dxa"/>
          <w:trHeight w:val="320"/>
        </w:trPr>
        <w:tc>
          <w:tcPr>
            <w:tcW w:w="80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D6863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0.2.b) nombre d'unités </w:t>
            </w:r>
            <w:r w:rsidRPr="00D10D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actés </w:t>
            </w: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en T3 </w:t>
            </w:r>
            <w:r w:rsidRPr="00D10D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sans</w:t>
            </w: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référence aux aides étatiques :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73FC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__________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0521A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logements</w:t>
            </w: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A9B32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08848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9180F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1584FA02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3D37C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5203A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2255D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047E4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A6E8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9EB25" w14:textId="77777777" w:rsidR="00D10D05" w:rsidRPr="00D10D05" w:rsidRDefault="00D10D05" w:rsidP="00D10D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D10D0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EEB9F" w14:textId="77777777" w:rsidR="00D10D05" w:rsidRPr="00D10D05" w:rsidRDefault="00D10D05" w:rsidP="00D10D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1EBEE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4D558354" w14:textId="77777777" w:rsidTr="00570FA8">
        <w:trPr>
          <w:gridAfter w:val="1"/>
          <w:wAfter w:w="108" w:type="dxa"/>
          <w:trHeight w:val="320"/>
        </w:trPr>
        <w:tc>
          <w:tcPr>
            <w:tcW w:w="966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7CB76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Toutes les questions qui suivent concernent exclusivmenet des actes notariés.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3233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3C18A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4C471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0FFE4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67F9BFCD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BFB84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CD42A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42799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FF856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700B1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24D1D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4F79A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8CEA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58FE3301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010A8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1) Type de vente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C0087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D32DA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4C01E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B2075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8EF03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61D02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3A42D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4425F0C0" w14:textId="77777777" w:rsidTr="00570FA8">
        <w:trPr>
          <w:gridAfter w:val="4"/>
          <w:wAfter w:w="387" w:type="dxa"/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79358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a) Appartements : 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529C" w14:textId="77777777" w:rsidR="00D10D05" w:rsidRPr="00D10D05" w:rsidRDefault="00D10D05" w:rsidP="00D10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nombre d’unités vendues (total) :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1AFC" w14:textId="77777777" w:rsidR="00D10D05" w:rsidRPr="00D10D05" w:rsidRDefault="00D10D05" w:rsidP="00570FA8">
            <w:pPr>
              <w:spacing w:after="0" w:line="240" w:lineRule="auto"/>
              <w:ind w:right="1174"/>
              <w:jc w:val="right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92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A408B" w14:textId="4FD34DA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AC5DF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</w:p>
        </w:tc>
      </w:tr>
      <w:tr w:rsidR="00570FA8" w:rsidRPr="00D10D05" w14:paraId="38047DAF" w14:textId="77777777" w:rsidTr="00570FA8">
        <w:trPr>
          <w:gridAfter w:val="1"/>
          <w:wAfter w:w="108" w:type="dxa"/>
          <w:trHeight w:val="320"/>
        </w:trPr>
        <w:tc>
          <w:tcPr>
            <w:tcW w:w="80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1CF70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1.a.1.1) Dont ventes purement sur plans (avant toute oeuvre sur terrain): 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FE5C9" w14:textId="77777777" w:rsidR="00D10D05" w:rsidRPr="00D10D05" w:rsidRDefault="00D10D05" w:rsidP="00D10D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D10D0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 xml:space="preserve"> _____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F31A6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logements</w:t>
            </w: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0A124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2DB3C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181FB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42593D4C" w14:textId="77777777" w:rsidTr="00570FA8">
        <w:trPr>
          <w:gridAfter w:val="1"/>
          <w:wAfter w:w="108" w:type="dxa"/>
          <w:trHeight w:val="320"/>
        </w:trPr>
        <w:tc>
          <w:tcPr>
            <w:tcW w:w="80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67406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1.a.1.2) Dont ventes en état mi-achevé (entre début travaux et finitions extérieures):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DCEAA" w14:textId="77777777" w:rsidR="00D10D05" w:rsidRPr="00D10D05" w:rsidRDefault="00D10D05" w:rsidP="00D10D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D10D0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 xml:space="preserve"> _____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E2A58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logements</w:t>
            </w: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B62F7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04DE9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9B59E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73BE2601" w14:textId="77777777" w:rsidTr="00570FA8">
        <w:trPr>
          <w:gridAfter w:val="1"/>
          <w:wAfter w:w="108" w:type="dxa"/>
          <w:trHeight w:val="320"/>
        </w:trPr>
        <w:tc>
          <w:tcPr>
            <w:tcW w:w="80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170B6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1.a.1.3) Dont ventes en état achevé (après finitions extérieures) :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DE9BC" w14:textId="77777777" w:rsidR="00D10D05" w:rsidRPr="00D10D05" w:rsidRDefault="00D10D05" w:rsidP="00D10D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D10D0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 xml:space="preserve"> _____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C8F43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logements</w:t>
            </w: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0DF7F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AE308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45FDB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037540A9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4DF36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3F55A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87CA0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1D494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4EC0F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0E16D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4F4AE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B8836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4369E954" w14:textId="77777777" w:rsidTr="00570FA8">
        <w:trPr>
          <w:gridAfter w:val="1"/>
          <w:wAfter w:w="108" w:type="dxa"/>
          <w:trHeight w:val="320"/>
        </w:trPr>
        <w:tc>
          <w:tcPr>
            <w:tcW w:w="80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E39FC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1.a.2) Dont unités vendues à des acteurs publics (État/Communes).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340EE" w14:textId="77777777" w:rsidR="00D10D05" w:rsidRPr="00D10D05" w:rsidRDefault="00D10D05" w:rsidP="00D10D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D10D0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 xml:space="preserve"> _____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EAFC6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logements</w:t>
            </w: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F314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F304B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C619E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20ACD998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909F7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02964" w14:textId="77777777" w:rsidR="00D10D05" w:rsidRPr="00D10D05" w:rsidRDefault="00D10D05" w:rsidP="00D10D05">
            <w:pPr>
              <w:spacing w:after="0" w:line="240" w:lineRule="auto"/>
              <w:ind w:firstLineChars="1200" w:firstLine="2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0A0F2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B1F8E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67AE7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5D48C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7D688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DC073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207D3367" w14:textId="77777777" w:rsidTr="00570FA8">
        <w:trPr>
          <w:gridAfter w:val="1"/>
          <w:wAfter w:w="108" w:type="dxa"/>
          <w:trHeight w:val="320"/>
        </w:trPr>
        <w:tc>
          <w:tcPr>
            <w:tcW w:w="71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45039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Typologie des appartements: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506E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86EDD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20B7E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FE09A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4949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07174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36902F6A" w14:textId="77777777" w:rsidTr="00570FA8">
        <w:trPr>
          <w:gridAfter w:val="1"/>
          <w:wAfter w:w="108" w:type="dxa"/>
          <w:trHeight w:val="320"/>
        </w:trPr>
        <w:tc>
          <w:tcPr>
            <w:tcW w:w="71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9BC19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  1.a.3.1) Studio ou 1 chambre :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20870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A862F" w14:textId="77777777" w:rsidR="00D10D05" w:rsidRPr="00D10D05" w:rsidRDefault="00D10D05" w:rsidP="00D10D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D10D0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________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7637" w14:textId="77777777" w:rsidR="00D10D05" w:rsidRPr="00D10D05" w:rsidRDefault="00D10D05" w:rsidP="00D10D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D10D0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 xml:space="preserve"> %</w:t>
            </w: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5FE36" w14:textId="77777777" w:rsidR="00D10D05" w:rsidRPr="00D10D05" w:rsidRDefault="00D10D05" w:rsidP="00D10D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63C7B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AEC82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55EC643C" w14:textId="77777777" w:rsidTr="00570FA8">
        <w:trPr>
          <w:gridAfter w:val="1"/>
          <w:wAfter w:w="108" w:type="dxa"/>
          <w:trHeight w:val="320"/>
        </w:trPr>
        <w:tc>
          <w:tcPr>
            <w:tcW w:w="71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77B678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  1.a.3.2)</w:t>
            </w:r>
            <w:r w:rsidRPr="00D10D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 </w:t>
            </w: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 chambres :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005F1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0BB0E" w14:textId="77777777" w:rsidR="00D10D05" w:rsidRPr="00D10D05" w:rsidRDefault="00D10D05" w:rsidP="00D10D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D10D0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________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4CD05" w14:textId="77777777" w:rsidR="00D10D05" w:rsidRPr="00D10D05" w:rsidRDefault="00D10D05" w:rsidP="00D10D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D10D0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 xml:space="preserve"> %</w:t>
            </w: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A16DB" w14:textId="77777777" w:rsidR="00D10D05" w:rsidRPr="00D10D05" w:rsidRDefault="00D10D05" w:rsidP="00D10D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B8176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264A8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623F4766" w14:textId="77777777" w:rsidTr="00570FA8">
        <w:trPr>
          <w:gridAfter w:val="1"/>
          <w:wAfter w:w="108" w:type="dxa"/>
          <w:trHeight w:val="320"/>
        </w:trPr>
        <w:tc>
          <w:tcPr>
            <w:tcW w:w="71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E3E84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 1.a.3.3) 3 chambres et plus :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13D4C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634E" w14:textId="77777777" w:rsidR="00D10D05" w:rsidRPr="00D10D05" w:rsidRDefault="00D10D05" w:rsidP="00D10D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D10D0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________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360E1" w14:textId="77777777" w:rsidR="00D10D05" w:rsidRPr="00D10D05" w:rsidRDefault="00D10D05" w:rsidP="00D10D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D10D0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 xml:space="preserve"> %</w:t>
            </w: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884C2" w14:textId="77777777" w:rsidR="00D10D05" w:rsidRPr="00D10D05" w:rsidRDefault="00D10D05" w:rsidP="00D10D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9EB55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5E217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2DEBE69B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2F2FD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0B311" w14:textId="77777777" w:rsidR="00D10D05" w:rsidRPr="00D10D05" w:rsidRDefault="00D10D05" w:rsidP="00D10D05">
            <w:pPr>
              <w:spacing w:after="0" w:line="240" w:lineRule="auto"/>
              <w:ind w:firstLineChars="1200" w:firstLine="2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2873E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16F0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BBE9E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C8D8A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EAE51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22255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2319B55D" w14:textId="77777777" w:rsidTr="00570FA8">
        <w:trPr>
          <w:gridAfter w:val="4"/>
          <w:wAfter w:w="387" w:type="dxa"/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A85F9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GB"/>
              </w:rPr>
              <w:t xml:space="preserve">b) Maisons : </w:t>
            </w:r>
          </w:p>
        </w:tc>
        <w:tc>
          <w:tcPr>
            <w:tcW w:w="27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28E1B" w14:textId="77777777" w:rsidR="00D10D05" w:rsidRPr="00D10D05" w:rsidRDefault="00D10D05" w:rsidP="00D10D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nombre d’unités vendues (total) :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63D2" w14:textId="77777777" w:rsidR="00D10D05" w:rsidRPr="00D10D05" w:rsidRDefault="00D10D05" w:rsidP="00570FA8">
            <w:pPr>
              <w:spacing w:after="0" w:line="240" w:lineRule="auto"/>
              <w:ind w:left="-164" w:right="1079"/>
              <w:jc w:val="right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492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C4A1A" w14:textId="7856E57E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3A6FA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n-GB"/>
              </w:rPr>
            </w:pPr>
          </w:p>
        </w:tc>
      </w:tr>
      <w:tr w:rsidR="00570FA8" w:rsidRPr="00D10D05" w14:paraId="7F4AD1FD" w14:textId="77777777" w:rsidTr="00570FA8">
        <w:trPr>
          <w:gridAfter w:val="1"/>
          <w:wAfter w:w="108" w:type="dxa"/>
          <w:trHeight w:val="320"/>
        </w:trPr>
        <w:tc>
          <w:tcPr>
            <w:tcW w:w="80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F83E2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1.b.1.1.) Dont ventes purement sur plans (avant toute oeuvre sur terrain): 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33971" w14:textId="77777777" w:rsidR="00D10D05" w:rsidRPr="00D10D05" w:rsidRDefault="00D10D05" w:rsidP="00D10D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D10D0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 xml:space="preserve"> _____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F4A57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logements</w:t>
            </w: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3BE7A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2F9E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281D0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0E9D88C1" w14:textId="77777777" w:rsidTr="00570FA8">
        <w:trPr>
          <w:gridAfter w:val="1"/>
          <w:wAfter w:w="108" w:type="dxa"/>
          <w:trHeight w:val="320"/>
        </w:trPr>
        <w:tc>
          <w:tcPr>
            <w:tcW w:w="80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6D769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1.b.1.2) Dont ventes en état mi-achevé (entre début travaux et finitions extérieures):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2C4C4" w14:textId="77777777" w:rsidR="00D10D05" w:rsidRPr="00D10D05" w:rsidRDefault="00D10D05" w:rsidP="00D10D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D10D0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 xml:space="preserve"> _____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36326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logements</w:t>
            </w: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A1BE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CB018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C59CA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37FF6216" w14:textId="77777777" w:rsidTr="00570FA8">
        <w:trPr>
          <w:gridAfter w:val="1"/>
          <w:wAfter w:w="108" w:type="dxa"/>
          <w:trHeight w:val="320"/>
        </w:trPr>
        <w:tc>
          <w:tcPr>
            <w:tcW w:w="80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41CF1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1.b.1.3) Dont ventes en état achevé (après finitions extérieures) :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738AB" w14:textId="77777777" w:rsidR="00D10D05" w:rsidRPr="00D10D05" w:rsidRDefault="00D10D05" w:rsidP="00D10D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D10D0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 xml:space="preserve"> _____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5E046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logements</w:t>
            </w: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9A356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C0623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45C23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083CF367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2C8BF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C30A8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A51B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1AAE3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5BB80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1311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3266D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606BA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41AA6375" w14:textId="77777777" w:rsidTr="00570FA8">
        <w:trPr>
          <w:gridAfter w:val="1"/>
          <w:wAfter w:w="108" w:type="dxa"/>
          <w:trHeight w:val="320"/>
        </w:trPr>
        <w:tc>
          <w:tcPr>
            <w:tcW w:w="80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26420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1.b.2) Dont unités vendues à des acteurs publics (État/Communes)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7F1D2" w14:textId="77777777" w:rsidR="00D10D05" w:rsidRPr="00D10D05" w:rsidRDefault="00D10D05" w:rsidP="00D10D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D10D0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 xml:space="preserve"> _____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4E918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logements</w:t>
            </w: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F1575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71E3D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00A5D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2185D1FC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658E5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D176B" w14:textId="77777777" w:rsidR="00D10D05" w:rsidRPr="00D10D05" w:rsidRDefault="00D10D05" w:rsidP="00D10D05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82FA0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7D91A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09B54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3BA0A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4C0E9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99C15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1BD642F3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569DE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2)</w:t>
            </w:r>
            <w:r w:rsidRPr="00D1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D10D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Type d’acquéreurs :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B41C5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6C70E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F4F8A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B0086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01901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C0CCF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44C0C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3D11EC68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32EE9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2.1) Occupation propre : 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B50D4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8809F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B4905" w14:textId="77777777" w:rsidR="00D10D05" w:rsidRPr="00D10D05" w:rsidRDefault="00D10D05" w:rsidP="00D10D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D10D0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 xml:space="preserve">________ 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D4F49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770C5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E19D1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1687A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69A5FC04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734AF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2.2) Investisseurs :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D14C8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33C8F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71630" w14:textId="77777777" w:rsidR="00D10D05" w:rsidRPr="00D10D05" w:rsidRDefault="00D10D05" w:rsidP="00D10D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D10D0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 xml:space="preserve">________ 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AF9EB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274FA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E7508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CA86B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40458FF1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21C11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2.3) Investisseur institutionnels :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B8041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433C6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1E00" w14:textId="77777777" w:rsidR="00D10D05" w:rsidRPr="00D10D05" w:rsidRDefault="00D10D05" w:rsidP="00D10D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D10D0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 xml:space="preserve">________ 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D57F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52767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57215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67D67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455E270E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FDAE1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2.4) Public :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CCAC5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BCA06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21594" w14:textId="77777777" w:rsidR="00D10D05" w:rsidRPr="00D10D05" w:rsidRDefault="00D10D05" w:rsidP="00D10D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D10D0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 xml:space="preserve">________ 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2C0F4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149F4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ECC1E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5067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38E7AA9E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D214C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338F3" w14:textId="77777777" w:rsidR="00D10D05" w:rsidRPr="00D10D05" w:rsidRDefault="00D10D05" w:rsidP="00D10D05">
            <w:pPr>
              <w:spacing w:after="0" w:line="240" w:lineRule="auto"/>
              <w:ind w:firstLineChars="1200" w:firstLine="2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CA208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1125A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9F3DD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5813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B53B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D7AA9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3E869AD0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947BE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3)</w:t>
            </w:r>
            <w:r w:rsidRPr="00D1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D10D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Mode de financement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1FD6A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D0F4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40DCF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2B0FE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CBE3E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B0C50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45751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33A29FF0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DF5FA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3.a) Avec accord bancaire : 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5E8C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1FBD2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94C2" w14:textId="77777777" w:rsidR="00D10D05" w:rsidRPr="00D10D05" w:rsidRDefault="00D10D05" w:rsidP="00D10D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D10D0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 xml:space="preserve">________ 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5BEC6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4AC23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C9E73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74C30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3F56FA30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E8425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3.b) Avec Fonds propres :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03DA1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9408E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E385D" w14:textId="77777777" w:rsidR="00D10D05" w:rsidRPr="00D10D05" w:rsidRDefault="00D10D05" w:rsidP="00D10D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D10D0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 xml:space="preserve">________ 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52B25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4D85F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9B9D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7AD7B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3913CD63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8C740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0A47C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318C4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9EA5F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1302D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21D3D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8A6C5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A5EA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4369DEFE" w14:textId="77777777" w:rsidTr="00570FA8">
        <w:trPr>
          <w:gridAfter w:val="1"/>
          <w:wAfter w:w="108" w:type="dxa"/>
          <w:trHeight w:val="320"/>
        </w:trPr>
        <w:tc>
          <w:tcPr>
            <w:tcW w:w="80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B1E77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3.1) D’après vous quels sont les budgets actuels (TTC) de vos clients pour: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C8A5A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497B4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CBBB7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A47D4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25CAB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144FA1BB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C8C11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3.1.a)</w:t>
            </w:r>
            <w:r w:rsidRPr="00D10D0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 </w:t>
            </w: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Pour une maison de 150 m2 : 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64131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FC68C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0C938" w14:textId="77777777" w:rsidR="00D10D05" w:rsidRPr="00D10D05" w:rsidRDefault="00D10D05" w:rsidP="00D10D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D10D0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___________________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43374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€ </w:t>
            </w: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8EE8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522BD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28471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3B6F1D1D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C4761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3.1.b) Pour un appartement de 80 m2 : 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B3E86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7A96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DB983" w14:textId="77777777" w:rsidR="00D10D05" w:rsidRPr="00D10D05" w:rsidRDefault="00D10D05" w:rsidP="00D10D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D10D0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___________________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BB85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€ </w:t>
            </w: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AA7E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9810E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8FBC1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2F56A838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CC112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799B8" w14:textId="77777777" w:rsidR="00D10D05" w:rsidRPr="00D10D05" w:rsidRDefault="00D10D05" w:rsidP="00D10D05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FAF0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7B3E3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D81D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BC9C5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86083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B422D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2744CA2C" w14:textId="77777777" w:rsidTr="00570FA8">
        <w:trPr>
          <w:gridAfter w:val="1"/>
          <w:wAfter w:w="108" w:type="dxa"/>
          <w:trHeight w:val="320"/>
        </w:trPr>
        <w:tc>
          <w:tcPr>
            <w:tcW w:w="71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0272A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4)</w:t>
            </w:r>
            <w:r w:rsidRPr="00D1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D10D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Prolog : Avez-vous introduit un dossier Prolog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B404A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E1C0A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9E93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394D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93F3F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52E3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4922B104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CCF8E" w14:textId="77777777" w:rsidR="00D10D05" w:rsidRPr="00D10D05" w:rsidRDefault="00D10D05" w:rsidP="00D10D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4.1) Oui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33EB3" w14:textId="77777777" w:rsidR="00D10D05" w:rsidRPr="00D10D05" w:rsidRDefault="00D10D05" w:rsidP="00D10D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D10D0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910C5" w14:textId="77777777" w:rsidR="00D10D05" w:rsidRPr="00D10D05" w:rsidRDefault="00D10D05" w:rsidP="00D10D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55B2B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72F01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2FD8D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5C8F0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A7A4E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05017CD1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DC683" w14:textId="77777777" w:rsidR="00D10D05" w:rsidRPr="00D10D05" w:rsidRDefault="00D10D05" w:rsidP="00D10D0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4.2) Non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56430" w14:textId="77777777" w:rsidR="00D10D05" w:rsidRPr="00D10D05" w:rsidRDefault="00D10D05" w:rsidP="00D10D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D10D0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13BB0" w14:textId="77777777" w:rsidR="00D10D05" w:rsidRPr="00D10D05" w:rsidRDefault="00D10D05" w:rsidP="00D10D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95E5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24C8E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FBFAC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90C65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D292E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42C65F91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E0CC2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361D" w14:textId="77777777" w:rsidR="00D10D05" w:rsidRPr="00D10D05" w:rsidRDefault="00D10D05" w:rsidP="00D10D05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49C85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9E0A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CCC0F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D40FA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29574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C6CCB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6C9F4B8B" w14:textId="77777777" w:rsidTr="00570FA8">
        <w:trPr>
          <w:gridAfter w:val="1"/>
          <w:wAfter w:w="108" w:type="dxa"/>
          <w:trHeight w:val="320"/>
        </w:trPr>
        <w:tc>
          <w:tcPr>
            <w:tcW w:w="71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D23E1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5)</w:t>
            </w:r>
            <w:r w:rsidRPr="00D1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en-GB"/>
              </w:rPr>
              <w:t> </w:t>
            </w:r>
            <w:r w:rsidRPr="00D10D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Combien de logements avez-vous en planification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63F49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6B77A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982A2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56D59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C9C6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6D9F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4E97F53F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20B15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5.a) Stade pré-commercialisation :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FA92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C99FE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C6EC8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_____________ 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2A967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logements</w:t>
            </w: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977A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512F7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559EF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33FF5782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86068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5.b) Stade autorisation de bâtir : 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74C8C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07DBD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47E46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_____________ 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D0943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logements</w:t>
            </w: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93445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7083F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40FCF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0D435270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CF1DD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5.c) Stade PAP :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78ABF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28499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5B8CC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_____________ 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F6B6F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logements</w:t>
            </w: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96ECB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C4A1F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46213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59BF9B57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BE5CDD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D83BF" w14:textId="77777777" w:rsidR="00D10D05" w:rsidRPr="00D10D05" w:rsidRDefault="00D10D05" w:rsidP="00D10D05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3FAB8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57DC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65CA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EF289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B7139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3707E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2CE5E32D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74554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B707F" w14:textId="77777777" w:rsidR="00D10D05" w:rsidRPr="00D10D05" w:rsidRDefault="00D10D05" w:rsidP="00D10D05">
            <w:pPr>
              <w:spacing w:after="0" w:line="240" w:lineRule="auto"/>
              <w:ind w:firstLineChars="600" w:firstLine="12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78ED4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F3AEC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45CC2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73CF8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ABC4E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6B761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3B69B8A6" w14:textId="77777777" w:rsidTr="00570FA8">
        <w:trPr>
          <w:gridAfter w:val="1"/>
          <w:wAfter w:w="108" w:type="dxa"/>
          <w:trHeight w:val="320"/>
        </w:trPr>
        <w:tc>
          <w:tcPr>
            <w:tcW w:w="71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90526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6) Logement à coût modéré/abordable : 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4771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C7C36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0C5E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54970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F3EFB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FEF3C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4EFF7921" w14:textId="77777777" w:rsidTr="00570FA8">
        <w:trPr>
          <w:gridAfter w:val="1"/>
          <w:wAfter w:w="108" w:type="dxa"/>
          <w:trHeight w:val="320"/>
        </w:trPr>
        <w:tc>
          <w:tcPr>
            <w:tcW w:w="71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D88B3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6.1) Nombre de logements à coût modéré vendus : </w:t>
            </w: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23769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47EB4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_____________ 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D84C6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logements</w:t>
            </w: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B816A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07F0C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6CA66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513650D9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6CB2B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D04D8" w14:textId="77777777" w:rsidR="00D10D05" w:rsidRPr="00D10D05" w:rsidRDefault="00D10D05" w:rsidP="00D10D05">
            <w:pPr>
              <w:spacing w:after="0" w:line="240" w:lineRule="auto"/>
              <w:ind w:firstLineChars="1200" w:firstLine="240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F8C3D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3DBB9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12F16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82188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B1D45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EC91E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6F83F043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88394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6.2) Acquéreurs :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C8A13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9D56A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2D88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89513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BA522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B0222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DCB0F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1CC50BAA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5373F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6.2.a) Commune : 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3DEE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5CFB1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D994A" w14:textId="77777777" w:rsidR="00D10D05" w:rsidRPr="00D10D05" w:rsidRDefault="00D10D05" w:rsidP="00D10D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D10D0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____________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5325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%</w:t>
            </w: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8932D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2EBEE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1E759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1BA862C1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D336D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6.2.b) Etat: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ABF0D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0497D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00C3D" w14:textId="77777777" w:rsidR="00D10D05" w:rsidRPr="00D10D05" w:rsidRDefault="00D10D05" w:rsidP="00D10D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D10D0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____________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2531B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%</w:t>
            </w: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B0F92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128EE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C2AF2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30310114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13B9D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lastRenderedPageBreak/>
              <w:t>6.2.c) Promoteurs publics: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8C409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56A7A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2C906" w14:textId="77777777" w:rsidR="00D10D05" w:rsidRPr="00D10D05" w:rsidRDefault="00D10D05" w:rsidP="00D10D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D10D0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____________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6CAF1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%</w:t>
            </w: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386B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55BE8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90A6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29899B5E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32EC3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6.2.d) Clients privés: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C828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C6DCA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CAE41" w14:textId="77777777" w:rsidR="00D10D05" w:rsidRPr="00D10D05" w:rsidRDefault="00D10D05" w:rsidP="00D10D0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</w:pPr>
            <w:r w:rsidRPr="00D10D05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en-GB"/>
              </w:rPr>
              <w:t>____________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5E595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%</w:t>
            </w: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5432B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EB1BE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5C029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3D731614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A4103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CDE17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0F591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99405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3D36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91FB4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031F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EA815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61EF6CBD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2DF33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7) Vente de stocks: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96A83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80C45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B7408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1CE3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42355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C38E3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F4178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7CBD7B5A" w14:textId="77777777" w:rsidTr="00570FA8">
        <w:trPr>
          <w:gridAfter w:val="1"/>
          <w:wAfter w:w="108" w:type="dxa"/>
          <w:trHeight w:val="320"/>
        </w:trPr>
        <w:tc>
          <w:tcPr>
            <w:tcW w:w="80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B67D3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7.a) vente à +5% (ou plus) par rapport au prix de vente listé: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AE956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__________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6605B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B7446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88CE0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5959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0CA4C2DC" w14:textId="77777777" w:rsidTr="00570FA8">
        <w:trPr>
          <w:trHeight w:val="32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2B9A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7.b) vente au prix listé (+/-):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F68D1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0AC4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AF053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__________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26204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70053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47E4C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DCCBF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70FA8" w:rsidRPr="00D10D05" w14:paraId="24C7AF56" w14:textId="77777777" w:rsidTr="00570FA8">
        <w:trPr>
          <w:gridAfter w:val="1"/>
          <w:wAfter w:w="108" w:type="dxa"/>
          <w:trHeight w:val="320"/>
        </w:trPr>
        <w:tc>
          <w:tcPr>
            <w:tcW w:w="80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34FC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7.c) vente à -5% (ou moins) par rapport au prix de vente listé: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170D4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__________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24138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10D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%</w:t>
            </w:r>
          </w:p>
        </w:tc>
        <w:tc>
          <w:tcPr>
            <w:tcW w:w="26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CD0C5" w14:textId="77777777" w:rsidR="00D10D05" w:rsidRPr="00D10D05" w:rsidRDefault="00D10D05" w:rsidP="00D10D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1DDB9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D8FA" w14:textId="77777777" w:rsidR="00D10D05" w:rsidRPr="00D10D05" w:rsidRDefault="00D10D05" w:rsidP="00D10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0E87F26" w14:textId="77777777" w:rsidR="0073747A" w:rsidRPr="006152AF" w:rsidRDefault="0073747A" w:rsidP="00D10D05">
      <w:pPr>
        <w:spacing w:before="100" w:beforeAutospacing="1" w:line="235" w:lineRule="atLeast"/>
        <w:rPr>
          <w:rFonts w:cstheme="minorHAnsi"/>
        </w:rPr>
      </w:pPr>
    </w:p>
    <w:sectPr w:rsidR="0073747A" w:rsidRPr="006152AF" w:rsidSect="00570FA8">
      <w:pgSz w:w="16817" w:h="11901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4DBC"/>
    <w:multiLevelType w:val="multilevel"/>
    <w:tmpl w:val="B794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16EB3"/>
    <w:multiLevelType w:val="multilevel"/>
    <w:tmpl w:val="2D06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E2B1B"/>
    <w:multiLevelType w:val="multilevel"/>
    <w:tmpl w:val="B508A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E5AD2"/>
    <w:multiLevelType w:val="multilevel"/>
    <w:tmpl w:val="FABCB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7D2C3"/>
    <w:multiLevelType w:val="hybridMultilevel"/>
    <w:tmpl w:val="6B38D0BC"/>
    <w:lvl w:ilvl="0" w:tplc="6BF4D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D47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509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0E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A87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789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A2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822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825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F2782"/>
    <w:multiLevelType w:val="multilevel"/>
    <w:tmpl w:val="A344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275513"/>
    <w:multiLevelType w:val="multilevel"/>
    <w:tmpl w:val="1DA6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7212D1"/>
    <w:multiLevelType w:val="multilevel"/>
    <w:tmpl w:val="3042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C57537"/>
    <w:multiLevelType w:val="multilevel"/>
    <w:tmpl w:val="10A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C25C82"/>
    <w:multiLevelType w:val="hybridMultilevel"/>
    <w:tmpl w:val="71F68D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C7287"/>
    <w:multiLevelType w:val="multilevel"/>
    <w:tmpl w:val="D498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A375E0"/>
    <w:multiLevelType w:val="multilevel"/>
    <w:tmpl w:val="D8C2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B3152C"/>
    <w:multiLevelType w:val="multilevel"/>
    <w:tmpl w:val="FAF4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DA7D7C"/>
    <w:multiLevelType w:val="hybridMultilevel"/>
    <w:tmpl w:val="40CE8B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679DE"/>
    <w:multiLevelType w:val="multilevel"/>
    <w:tmpl w:val="0C66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291579"/>
    <w:multiLevelType w:val="hybridMultilevel"/>
    <w:tmpl w:val="03DE9CA8"/>
    <w:lvl w:ilvl="0" w:tplc="B4CA18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56467">
    <w:abstractNumId w:val="4"/>
  </w:num>
  <w:num w:numId="2" w16cid:durableId="810295793">
    <w:abstractNumId w:val="5"/>
  </w:num>
  <w:num w:numId="3" w16cid:durableId="1463889389">
    <w:abstractNumId w:val="14"/>
  </w:num>
  <w:num w:numId="4" w16cid:durableId="1096831745">
    <w:abstractNumId w:val="0"/>
  </w:num>
  <w:num w:numId="5" w16cid:durableId="1580169934">
    <w:abstractNumId w:val="1"/>
  </w:num>
  <w:num w:numId="6" w16cid:durableId="1067461398">
    <w:abstractNumId w:val="12"/>
  </w:num>
  <w:num w:numId="7" w16cid:durableId="718942521">
    <w:abstractNumId w:val="7"/>
  </w:num>
  <w:num w:numId="8" w16cid:durableId="38744564">
    <w:abstractNumId w:val="3"/>
  </w:num>
  <w:num w:numId="9" w16cid:durableId="1506362939">
    <w:abstractNumId w:val="6"/>
  </w:num>
  <w:num w:numId="10" w16cid:durableId="1169522560">
    <w:abstractNumId w:val="10"/>
  </w:num>
  <w:num w:numId="11" w16cid:durableId="808134886">
    <w:abstractNumId w:val="2"/>
  </w:num>
  <w:num w:numId="12" w16cid:durableId="1161655636">
    <w:abstractNumId w:val="8"/>
  </w:num>
  <w:num w:numId="13" w16cid:durableId="1798990164">
    <w:abstractNumId w:val="13"/>
  </w:num>
  <w:num w:numId="14" w16cid:durableId="821889859">
    <w:abstractNumId w:val="11"/>
  </w:num>
  <w:num w:numId="15" w16cid:durableId="1534658001">
    <w:abstractNumId w:val="9"/>
  </w:num>
  <w:num w:numId="16" w16cid:durableId="10952485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89C"/>
    <w:rsid w:val="00002D65"/>
    <w:rsid w:val="00041753"/>
    <w:rsid w:val="000A7670"/>
    <w:rsid w:val="000BBD4D"/>
    <w:rsid w:val="00113FE8"/>
    <w:rsid w:val="001778BE"/>
    <w:rsid w:val="001B1ABB"/>
    <w:rsid w:val="001B33C8"/>
    <w:rsid w:val="002514AA"/>
    <w:rsid w:val="00260B8A"/>
    <w:rsid w:val="002C3A06"/>
    <w:rsid w:val="00334A25"/>
    <w:rsid w:val="003828B0"/>
    <w:rsid w:val="004A3452"/>
    <w:rsid w:val="005018AF"/>
    <w:rsid w:val="00525AB5"/>
    <w:rsid w:val="005431D1"/>
    <w:rsid w:val="00557D24"/>
    <w:rsid w:val="00570FA8"/>
    <w:rsid w:val="00583FD6"/>
    <w:rsid w:val="005D35FA"/>
    <w:rsid w:val="006152AF"/>
    <w:rsid w:val="006B6A9B"/>
    <w:rsid w:val="006F6B22"/>
    <w:rsid w:val="0073747A"/>
    <w:rsid w:val="007C5FF9"/>
    <w:rsid w:val="007E1184"/>
    <w:rsid w:val="00841BD0"/>
    <w:rsid w:val="008C482D"/>
    <w:rsid w:val="009647C4"/>
    <w:rsid w:val="009A189C"/>
    <w:rsid w:val="00B220AB"/>
    <w:rsid w:val="00B6054F"/>
    <w:rsid w:val="00B66355"/>
    <w:rsid w:val="00B70424"/>
    <w:rsid w:val="00B90EEF"/>
    <w:rsid w:val="00C0532A"/>
    <w:rsid w:val="00C77B76"/>
    <w:rsid w:val="00C9323A"/>
    <w:rsid w:val="00CA1545"/>
    <w:rsid w:val="00CB6018"/>
    <w:rsid w:val="00CB79A2"/>
    <w:rsid w:val="00D10D05"/>
    <w:rsid w:val="00DF58DD"/>
    <w:rsid w:val="00ED6ADD"/>
    <w:rsid w:val="00F60376"/>
    <w:rsid w:val="00F80664"/>
    <w:rsid w:val="00F818AD"/>
    <w:rsid w:val="00FD4EB7"/>
    <w:rsid w:val="048118C6"/>
    <w:rsid w:val="081F8C71"/>
    <w:rsid w:val="0830EE0B"/>
    <w:rsid w:val="0C82E8B5"/>
    <w:rsid w:val="122E92CA"/>
    <w:rsid w:val="141ED03A"/>
    <w:rsid w:val="1422D7CB"/>
    <w:rsid w:val="1624052A"/>
    <w:rsid w:val="16D49451"/>
    <w:rsid w:val="17592702"/>
    <w:rsid w:val="1CEA93C3"/>
    <w:rsid w:val="1D817DAB"/>
    <w:rsid w:val="1FEF26CF"/>
    <w:rsid w:val="20997884"/>
    <w:rsid w:val="21A583A0"/>
    <w:rsid w:val="23639BA7"/>
    <w:rsid w:val="244690A7"/>
    <w:rsid w:val="2557E3A6"/>
    <w:rsid w:val="29F3443A"/>
    <w:rsid w:val="2C7ED179"/>
    <w:rsid w:val="2C9C9B43"/>
    <w:rsid w:val="2E8C36BF"/>
    <w:rsid w:val="30F5F7B6"/>
    <w:rsid w:val="33999107"/>
    <w:rsid w:val="34174BA4"/>
    <w:rsid w:val="364845C8"/>
    <w:rsid w:val="365CEEBD"/>
    <w:rsid w:val="37041921"/>
    <w:rsid w:val="37E52D63"/>
    <w:rsid w:val="38C73EE0"/>
    <w:rsid w:val="3B0C8F91"/>
    <w:rsid w:val="3FDAA071"/>
    <w:rsid w:val="3FFC45C4"/>
    <w:rsid w:val="402889D0"/>
    <w:rsid w:val="43E95EE2"/>
    <w:rsid w:val="47ECBF00"/>
    <w:rsid w:val="4897047E"/>
    <w:rsid w:val="49573981"/>
    <w:rsid w:val="49865F29"/>
    <w:rsid w:val="4C2361FC"/>
    <w:rsid w:val="4FC2B8EF"/>
    <w:rsid w:val="4FFF5180"/>
    <w:rsid w:val="54D23A75"/>
    <w:rsid w:val="5836D15F"/>
    <w:rsid w:val="599EBC58"/>
    <w:rsid w:val="5FA629E6"/>
    <w:rsid w:val="647E2D0B"/>
    <w:rsid w:val="64A1A3D1"/>
    <w:rsid w:val="6632A139"/>
    <w:rsid w:val="666C1BF6"/>
    <w:rsid w:val="67BBB80F"/>
    <w:rsid w:val="6C38DA7A"/>
    <w:rsid w:val="70A0FAF2"/>
    <w:rsid w:val="70D8FFE2"/>
    <w:rsid w:val="72499004"/>
    <w:rsid w:val="73CF2753"/>
    <w:rsid w:val="73D4F4A2"/>
    <w:rsid w:val="7540A98C"/>
    <w:rsid w:val="7670075A"/>
    <w:rsid w:val="79B07970"/>
    <w:rsid w:val="7F84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9E07"/>
  <w15:chartTrackingRefBased/>
  <w15:docId w15:val="{C04B2721-CF07-4AA8-812A-8DE8F76E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A18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LU"/>
    </w:rPr>
  </w:style>
  <w:style w:type="paragraph" w:styleId="Titre3">
    <w:name w:val="heading 3"/>
    <w:basedOn w:val="Normal"/>
    <w:link w:val="Titre3Car"/>
    <w:uiPriority w:val="9"/>
    <w:qFormat/>
    <w:rsid w:val="009A18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LU"/>
    </w:rPr>
  </w:style>
  <w:style w:type="paragraph" w:styleId="Titre4">
    <w:name w:val="heading 4"/>
    <w:basedOn w:val="Normal"/>
    <w:link w:val="Titre4Car"/>
    <w:uiPriority w:val="9"/>
    <w:qFormat/>
    <w:rsid w:val="009A18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LU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A189C"/>
    <w:rPr>
      <w:rFonts w:ascii="Times New Roman" w:eastAsia="Times New Roman" w:hAnsi="Times New Roman" w:cs="Times New Roman"/>
      <w:b/>
      <w:bCs/>
      <w:sz w:val="36"/>
      <w:szCs w:val="36"/>
      <w:lang w:eastAsia="fr-LU"/>
    </w:rPr>
  </w:style>
  <w:style w:type="character" w:customStyle="1" w:styleId="Titre3Car">
    <w:name w:val="Titre 3 Car"/>
    <w:basedOn w:val="Policepardfaut"/>
    <w:link w:val="Titre3"/>
    <w:uiPriority w:val="9"/>
    <w:rsid w:val="009A189C"/>
    <w:rPr>
      <w:rFonts w:ascii="Times New Roman" w:eastAsia="Times New Roman" w:hAnsi="Times New Roman" w:cs="Times New Roman"/>
      <w:b/>
      <w:bCs/>
      <w:sz w:val="27"/>
      <w:szCs w:val="27"/>
      <w:lang w:eastAsia="fr-LU"/>
    </w:rPr>
  </w:style>
  <w:style w:type="character" w:customStyle="1" w:styleId="Titre4Car">
    <w:name w:val="Titre 4 Car"/>
    <w:basedOn w:val="Policepardfaut"/>
    <w:link w:val="Titre4"/>
    <w:uiPriority w:val="9"/>
    <w:rsid w:val="009A189C"/>
    <w:rPr>
      <w:rFonts w:ascii="Times New Roman" w:eastAsia="Times New Roman" w:hAnsi="Times New Roman" w:cs="Times New Roman"/>
      <w:b/>
      <w:bCs/>
      <w:sz w:val="24"/>
      <w:szCs w:val="24"/>
      <w:lang w:eastAsia="fr-LU"/>
    </w:rPr>
  </w:style>
  <w:style w:type="paragraph" w:styleId="NormalWeb">
    <w:name w:val="Normal (Web)"/>
    <w:basedOn w:val="Normal"/>
    <w:uiPriority w:val="99"/>
    <w:semiHidden/>
    <w:unhideWhenUsed/>
    <w:rsid w:val="009A1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LU"/>
    </w:rPr>
  </w:style>
  <w:style w:type="character" w:styleId="lev">
    <w:name w:val="Strong"/>
    <w:basedOn w:val="Policepardfaut"/>
    <w:uiPriority w:val="22"/>
    <w:qFormat/>
    <w:rsid w:val="009A189C"/>
    <w:rPr>
      <w:b/>
      <w:bCs/>
    </w:rPr>
  </w:style>
  <w:style w:type="table" w:styleId="Grilledutableau">
    <w:name w:val="Table Grid"/>
    <w:basedOn w:val="TableauNormal"/>
    <w:uiPriority w:val="39"/>
    <w:rsid w:val="00DF58DD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6A9B"/>
    <w:pPr>
      <w:ind w:left="720"/>
      <w:contextualSpacing/>
    </w:pPr>
  </w:style>
  <w:style w:type="paragraph" w:styleId="Rvision">
    <w:name w:val="Revision"/>
    <w:hidden/>
    <w:uiPriority w:val="99"/>
    <w:semiHidden/>
    <w:rsid w:val="00CB79A2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C77B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77B7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77B7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77B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77B7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6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C38EDC73AED40BD37E4A6551FDBF8" ma:contentTypeVersion="3" ma:contentTypeDescription="Create a new document." ma:contentTypeScope="" ma:versionID="e459ae360979a22de279440ad797718c">
  <xsd:schema xmlns:xsd="http://www.w3.org/2001/XMLSchema" xmlns:xs="http://www.w3.org/2001/XMLSchema" xmlns:p="http://schemas.microsoft.com/office/2006/metadata/properties" xmlns:ns2="b42f780e-3921-44e9-a6d1-2e2649abfbf1" targetNamespace="http://schemas.microsoft.com/office/2006/metadata/properties" ma:root="true" ma:fieldsID="5ece8cb39d92cc6c4de1bf2e1b6522ea" ns2:_="">
    <xsd:import namespace="b42f780e-3921-44e9-a6d1-2e2649abfb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f780e-3921-44e9-a6d1-2e2649abf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A4B18-2858-4F87-844D-409AD63350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600380-701A-4210-B40A-A591AA2FA1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DB7014-0CEB-42B4-A8EA-CC46BBD82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2f780e-3921-44e9-a6d1-2e2649abf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991</Words>
  <Characters>5580</Characters>
  <Application>Microsoft Office Word</Application>
  <DocSecurity>0</DocSecurity>
  <Lines>84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Emilie DI VINCENZO</cp:lastModifiedBy>
  <cp:revision>2</cp:revision>
  <dcterms:created xsi:type="dcterms:W3CDTF">2025-10-14T05:59:00Z</dcterms:created>
  <dcterms:modified xsi:type="dcterms:W3CDTF">2025-10-14T05:59:00Z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0x0101002D1C38EDC73AED40BD37E4A6551FDBF8</vt:lpwstr>
  </property>
  <property fmtid="{D5CDD505-2E9C-101B-9397-08002B2CF9AE}" pid="3" name="docLang">
    <vt:lpwstr>fr</vt:lpwstr>
  </property>
</Properties>
</file>